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A301C" w14:paraId="2A5BEA2D" w14:textId="77777777">
        <w:tc>
          <w:tcPr>
            <w:tcW w:w="509" w:type="dxa"/>
          </w:tcPr>
          <w:p w14:paraId="0B6D031D" w14:textId="77777777" w:rsidR="00BA301C"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01D2D33" w14:textId="77777777" w:rsidR="00BA301C"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BA301C" w14:paraId="4FF4A748" w14:textId="77777777">
        <w:tc>
          <w:tcPr>
            <w:tcW w:w="509" w:type="dxa"/>
          </w:tcPr>
          <w:p w14:paraId="23338283" w14:textId="77777777" w:rsidR="00BA301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A301C" w14:paraId="6D13571C" w14:textId="77777777">
              <w:trPr>
                <w:trHeight w:hRule="exact" w:val="1021"/>
              </w:trPr>
              <w:tc>
                <w:tcPr>
                  <w:tcW w:w="9242" w:type="dxa"/>
                  <w:vAlign w:val="center"/>
                </w:tcPr>
                <w:p w14:paraId="0A229DFB" w14:textId="77777777" w:rsidR="00BA301C" w:rsidRDefault="00000000" w:rsidP="006376EF">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46764CA5" wp14:editId="43671FA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636D922" wp14:editId="5D326E1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CNEA</w:t>
                  </w:r>
                  <w:r>
                    <w:fldChar w:fldCharType="end"/>
                  </w:r>
                  <w:bookmarkEnd w:id="1"/>
                </w:p>
              </w:tc>
            </w:tr>
          </w:tbl>
          <w:p w14:paraId="1A01BE77" w14:textId="77777777" w:rsidR="00BA301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77C25D01" w14:textId="77777777" w:rsidR="00BA301C"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676E61F" w14:textId="5E1D9488" w:rsidR="00BA301C"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CNEA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sidR="00CF3B94">
        <w:rPr>
          <w:rFonts w:hint="eastAsia"/>
        </w:rPr>
        <w:t>XXXX</w:t>
      </w:r>
      <w:r>
        <w:fldChar w:fldCharType="end"/>
      </w:r>
      <w:bookmarkEnd w:id="7"/>
    </w:p>
    <w:p w14:paraId="4A672FB8" w14:textId="77777777" w:rsidR="00BA301C"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39E7471" w14:textId="77777777" w:rsidR="00BA301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1460EE9" wp14:editId="37B6E8A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E601A6" w14:textId="77777777" w:rsidR="00BA301C" w:rsidRDefault="00BA301C">
      <w:pPr>
        <w:pStyle w:val="afffff0"/>
        <w:framePr w:w="9639" w:h="6976" w:hRule="exact" w:hSpace="0" w:vSpace="0" w:wrap="around" w:hAnchor="page" w:y="6408"/>
        <w:jc w:val="center"/>
        <w:rPr>
          <w:rFonts w:ascii="黑体" w:eastAsia="黑体" w:hAnsi="黑体" w:hint="eastAsia"/>
          <w:b w:val="0"/>
          <w:bCs w:val="0"/>
          <w:w w:val="100"/>
        </w:rPr>
      </w:pPr>
    </w:p>
    <w:p w14:paraId="32D9F4AE" w14:textId="77777777" w:rsidR="00BA301C"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核电厂运行指标管理指南</w:t>
      </w:r>
      <w:r>
        <w:fldChar w:fldCharType="end"/>
      </w:r>
      <w:bookmarkEnd w:id="9"/>
    </w:p>
    <w:p w14:paraId="6E8C739A" w14:textId="77777777" w:rsidR="00BA301C" w:rsidRDefault="00BA301C">
      <w:pPr>
        <w:framePr w:w="9639" w:h="6974" w:hRule="exact" w:wrap="around" w:vAnchor="page" w:hAnchor="page" w:x="1419" w:y="6408" w:anchorLock="1"/>
        <w:ind w:left="-1418"/>
      </w:pPr>
    </w:p>
    <w:p w14:paraId="1D3BC439" w14:textId="77777777" w:rsidR="00BA301C"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Guduidance for management of operation indexes of nuclear power plants </w:t>
      </w:r>
      <w:r>
        <w:rPr>
          <w:rFonts w:eastAsia="黑体"/>
          <w:szCs w:val="28"/>
        </w:rPr>
        <w:fldChar w:fldCharType="end"/>
      </w:r>
      <w:bookmarkEnd w:id="10"/>
    </w:p>
    <w:p w14:paraId="18E37A21" w14:textId="77777777" w:rsidR="00BA301C" w:rsidRDefault="00BA301C">
      <w:pPr>
        <w:framePr w:w="9639" w:h="6974" w:hRule="exact" w:wrap="around" w:vAnchor="page" w:hAnchor="page" w:x="1419" w:y="6408" w:anchorLock="1"/>
        <w:spacing w:line="760" w:lineRule="exact"/>
        <w:ind w:left="-1418"/>
      </w:pPr>
    </w:p>
    <w:p w14:paraId="69D0F909" w14:textId="77777777" w:rsidR="00BA301C" w:rsidRDefault="00BA301C">
      <w:pPr>
        <w:pStyle w:val="afffffff8"/>
        <w:framePr w:w="9639" w:h="6974" w:hRule="exact" w:wrap="around" w:vAnchor="page" w:hAnchor="page" w:x="1419" w:y="6408" w:anchorLock="1"/>
        <w:textAlignment w:val="bottom"/>
        <w:rPr>
          <w:rFonts w:eastAsia="黑体"/>
          <w:szCs w:val="28"/>
        </w:rPr>
      </w:pPr>
    </w:p>
    <w:p w14:paraId="10EEBF31" w14:textId="77777777" w:rsidR="00BA301C"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2296403" w14:textId="4EF1E8A5" w:rsidR="00BA301C"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CF3B94" w:rsidRPr="00CF3B94">
        <w:rPr>
          <w:sz w:val="21"/>
          <w:szCs w:val="28"/>
        </w:rPr>
        <w:t>（本草案完成时间：</w:t>
      </w:r>
      <w:r w:rsidR="00CF3B94" w:rsidRPr="00CF3B94">
        <w:rPr>
          <w:sz w:val="21"/>
          <w:szCs w:val="28"/>
        </w:rPr>
        <w:t>202</w:t>
      </w:r>
      <w:r w:rsidR="00CF3B94">
        <w:rPr>
          <w:rFonts w:hint="eastAsia"/>
          <w:sz w:val="21"/>
          <w:szCs w:val="28"/>
        </w:rPr>
        <w:t>5</w:t>
      </w:r>
      <w:r w:rsidR="00CF3B94" w:rsidRPr="00CF3B94">
        <w:rPr>
          <w:sz w:val="21"/>
          <w:szCs w:val="28"/>
        </w:rPr>
        <w:t>.</w:t>
      </w:r>
      <w:r w:rsidR="00CF3B94">
        <w:rPr>
          <w:rFonts w:hint="eastAsia"/>
          <w:sz w:val="21"/>
          <w:szCs w:val="28"/>
        </w:rPr>
        <w:t>11</w:t>
      </w:r>
      <w:r w:rsidR="00CF3B94" w:rsidRPr="00CF3B94">
        <w:rPr>
          <w:sz w:val="21"/>
          <w:szCs w:val="28"/>
        </w:rPr>
        <w:t>.1</w:t>
      </w:r>
      <w:r w:rsidR="00CF3B94">
        <w:rPr>
          <w:rFonts w:hint="eastAsia"/>
          <w:sz w:val="21"/>
          <w:szCs w:val="28"/>
        </w:rPr>
        <w:t>7</w:t>
      </w:r>
      <w:r w:rsidR="00CF3B94" w:rsidRPr="00CF3B94">
        <w:rPr>
          <w:sz w:val="21"/>
          <w:szCs w:val="28"/>
        </w:rPr>
        <w:t>）</w:t>
      </w:r>
      <w:r>
        <w:rPr>
          <w:sz w:val="21"/>
          <w:szCs w:val="28"/>
        </w:rPr>
        <w:fldChar w:fldCharType="end"/>
      </w:r>
      <w:bookmarkEnd w:id="12"/>
    </w:p>
    <w:p w14:paraId="78EE9D2E" w14:textId="77777777" w:rsidR="00BA301C"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510E299" w14:textId="7365839F" w:rsidR="00BA301C"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CF3B94" w:rsidRPr="00CF3B94">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CF3B94">
        <w:rPr>
          <w:rFonts w:ascii="黑体" w:hint="eastAsia"/>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CF3B94">
        <w:rPr>
          <w:rFonts w:ascii="黑体" w:hint="eastAsia"/>
        </w:rPr>
        <w:t>XX</w:t>
      </w:r>
      <w:r>
        <w:rPr>
          <w:rFonts w:ascii="黑体"/>
        </w:rPr>
        <w:fldChar w:fldCharType="end"/>
      </w:r>
      <w:bookmarkEnd w:id="16"/>
      <w:r>
        <w:rPr>
          <w:rFonts w:hint="eastAsia"/>
        </w:rPr>
        <w:t>发布</w:t>
      </w:r>
    </w:p>
    <w:p w14:paraId="23D1EF36" w14:textId="4B80A99E" w:rsidR="00BA301C"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CF3B94">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CF3B94">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CF3B94">
        <w:rPr>
          <w:rFonts w:ascii="黑体" w:hint="eastAsia"/>
        </w:rPr>
        <w:t>XX</w:t>
      </w:r>
      <w:r>
        <w:rPr>
          <w:rFonts w:ascii="黑体"/>
        </w:rPr>
        <w:fldChar w:fldCharType="end"/>
      </w:r>
      <w:bookmarkEnd w:id="19"/>
      <w:r>
        <w:rPr>
          <w:rFonts w:hint="eastAsia"/>
        </w:rPr>
        <w:t>实施</w:t>
      </w:r>
    </w:p>
    <w:p w14:paraId="47D2A62F" w14:textId="77777777" w:rsidR="00BA301C"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核能行业协会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73E426C" w14:textId="77777777" w:rsidR="00BA301C" w:rsidRDefault="00000000">
      <w:pPr>
        <w:rPr>
          <w:rFonts w:ascii="宋体" w:hAnsi="宋体" w:hint="eastAsia"/>
          <w:sz w:val="28"/>
          <w:szCs w:val="28"/>
        </w:rPr>
        <w:sectPr w:rsidR="00BA301C">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F07E046" wp14:editId="6C33D19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A8711E9" w14:textId="77777777" w:rsidR="00BA301C" w:rsidRDefault="00000000">
      <w:pPr>
        <w:pStyle w:val="affffffa"/>
        <w:spacing w:after="360"/>
      </w:pPr>
      <w:bookmarkStart w:id="21" w:name="BookMark1"/>
      <w:bookmarkStart w:id="22" w:name="_Toc144652372"/>
      <w:bookmarkStart w:id="23" w:name="_Toc167209171"/>
      <w:bookmarkStart w:id="24" w:name="_Toc144573132"/>
      <w:bookmarkStart w:id="25" w:name="_Toc144658626"/>
      <w:bookmarkStart w:id="26" w:name="_Toc144568111"/>
      <w:bookmarkStart w:id="27" w:name="_Toc144658617"/>
      <w:r>
        <w:rPr>
          <w:rFonts w:hint="eastAsia"/>
          <w:spacing w:val="320"/>
        </w:rPr>
        <w:lastRenderedPageBreak/>
        <w:t>目</w:t>
      </w:r>
      <w:r>
        <w:rPr>
          <w:rFonts w:hint="eastAsia"/>
        </w:rPr>
        <w:t>次</w:t>
      </w:r>
    </w:p>
    <w:p w14:paraId="1AC6E80C" w14:textId="77777777" w:rsidR="00BA301C"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167389483" w:history="1">
        <w:r w:rsidR="00BA301C">
          <w:rPr>
            <w:rStyle w:val="affffb"/>
            <w:spacing w:val="320"/>
          </w:rPr>
          <w:t>前</w:t>
        </w:r>
        <w:r w:rsidR="00BA301C">
          <w:rPr>
            <w:rStyle w:val="affffb"/>
          </w:rPr>
          <w:t>言</w:t>
        </w:r>
        <w:r w:rsidR="00BA301C">
          <w:tab/>
        </w:r>
        <w:r w:rsidR="00BA301C">
          <w:fldChar w:fldCharType="begin"/>
        </w:r>
        <w:r w:rsidR="00BA301C">
          <w:instrText xml:space="preserve"> PAGEREF _Toc167389483 \h </w:instrText>
        </w:r>
        <w:r w:rsidR="00BA301C">
          <w:fldChar w:fldCharType="separate"/>
        </w:r>
        <w:r w:rsidR="00BA301C">
          <w:t>II</w:t>
        </w:r>
        <w:r w:rsidR="00BA301C">
          <w:fldChar w:fldCharType="end"/>
        </w:r>
      </w:hyperlink>
    </w:p>
    <w:p w14:paraId="5BC0C403"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4" w:history="1">
        <w:r>
          <w:rPr>
            <w:rStyle w:val="affffb"/>
          </w:rPr>
          <w:t>1 范围</w:t>
        </w:r>
        <w:r>
          <w:tab/>
        </w:r>
        <w:r>
          <w:fldChar w:fldCharType="begin"/>
        </w:r>
        <w:r>
          <w:instrText xml:space="preserve"> PAGEREF _Toc167389484 \h </w:instrText>
        </w:r>
        <w:r>
          <w:fldChar w:fldCharType="separate"/>
        </w:r>
        <w:r>
          <w:t>1</w:t>
        </w:r>
        <w:r>
          <w:fldChar w:fldCharType="end"/>
        </w:r>
      </w:hyperlink>
    </w:p>
    <w:p w14:paraId="0D2C9503"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5" w:history="1">
        <w:r>
          <w:rPr>
            <w:rStyle w:val="affffb"/>
          </w:rPr>
          <w:t>2 规范性引用文件</w:t>
        </w:r>
        <w:r>
          <w:tab/>
        </w:r>
        <w:r>
          <w:fldChar w:fldCharType="begin"/>
        </w:r>
        <w:r>
          <w:instrText xml:space="preserve"> PAGEREF _Toc167389485 \h </w:instrText>
        </w:r>
        <w:r>
          <w:fldChar w:fldCharType="separate"/>
        </w:r>
        <w:r>
          <w:t>1</w:t>
        </w:r>
        <w:r>
          <w:fldChar w:fldCharType="end"/>
        </w:r>
      </w:hyperlink>
    </w:p>
    <w:p w14:paraId="025D597A"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6" w:history="1">
        <w:r>
          <w:rPr>
            <w:rStyle w:val="affffb"/>
          </w:rPr>
          <w:t>3 术语和定义</w:t>
        </w:r>
        <w:r>
          <w:tab/>
        </w:r>
        <w:r>
          <w:fldChar w:fldCharType="begin"/>
        </w:r>
        <w:r>
          <w:instrText xml:space="preserve"> PAGEREF _Toc167389486 \h </w:instrText>
        </w:r>
        <w:r>
          <w:fldChar w:fldCharType="separate"/>
        </w:r>
        <w:r>
          <w:t>1</w:t>
        </w:r>
        <w:r>
          <w:fldChar w:fldCharType="end"/>
        </w:r>
      </w:hyperlink>
    </w:p>
    <w:p w14:paraId="523E5870"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7" w:history="1">
        <w:r>
          <w:rPr>
            <w:rStyle w:val="affffb"/>
          </w:rPr>
          <w:t>4 责任</w:t>
        </w:r>
        <w:r>
          <w:tab/>
        </w:r>
        <w:r>
          <w:fldChar w:fldCharType="begin"/>
        </w:r>
        <w:r>
          <w:instrText xml:space="preserve"> PAGEREF _Toc167389487 \h </w:instrText>
        </w:r>
        <w:r>
          <w:fldChar w:fldCharType="separate"/>
        </w:r>
        <w:r>
          <w:t>2</w:t>
        </w:r>
        <w:r>
          <w:fldChar w:fldCharType="end"/>
        </w:r>
      </w:hyperlink>
    </w:p>
    <w:p w14:paraId="3CD3A698"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8" w:history="1">
        <w:r>
          <w:rPr>
            <w:rStyle w:val="affffb"/>
          </w:rPr>
          <w:t>5 指标管理规定</w:t>
        </w:r>
        <w:r>
          <w:tab/>
        </w:r>
        <w:r>
          <w:fldChar w:fldCharType="begin"/>
        </w:r>
        <w:r>
          <w:instrText xml:space="preserve"> PAGEREF _Toc167389488 \h </w:instrText>
        </w:r>
        <w:r>
          <w:fldChar w:fldCharType="separate"/>
        </w:r>
        <w:r>
          <w:t>2</w:t>
        </w:r>
        <w:r>
          <w:fldChar w:fldCharType="end"/>
        </w:r>
      </w:hyperlink>
    </w:p>
    <w:p w14:paraId="1EAAE0E6" w14:textId="77777777" w:rsidR="00BA301C" w:rsidRDefault="00BA301C">
      <w:pPr>
        <w:pStyle w:val="TOC1"/>
        <w:tabs>
          <w:tab w:val="right" w:leader="dot" w:pos="9344"/>
        </w:tabs>
        <w:rPr>
          <w:rFonts w:asciiTheme="minorHAnsi" w:eastAsiaTheme="minorEastAsia" w:hAnsiTheme="minorHAnsi" w:cstheme="minorBidi" w:hint="eastAsia"/>
          <w:szCs w:val="22"/>
        </w:rPr>
      </w:pPr>
      <w:hyperlink w:anchor="_Toc167389489" w:history="1">
        <w:r>
          <w:rPr>
            <w:rStyle w:val="affffb"/>
            <w:spacing w:val="100"/>
          </w:rPr>
          <w:t>附录A</w:t>
        </w:r>
        <w:r>
          <w:rPr>
            <w:rStyle w:val="affffb"/>
          </w:rPr>
          <w:t xml:space="preserve"> （资料性） 运行指标</w:t>
        </w:r>
        <w:r>
          <w:tab/>
        </w:r>
        <w:r>
          <w:fldChar w:fldCharType="begin"/>
        </w:r>
        <w:r>
          <w:instrText xml:space="preserve"> PAGEREF _Toc167389489 \h </w:instrText>
        </w:r>
        <w:r>
          <w:fldChar w:fldCharType="separate"/>
        </w:r>
        <w:r>
          <w:t>4</w:t>
        </w:r>
        <w:r>
          <w:fldChar w:fldCharType="end"/>
        </w:r>
      </w:hyperlink>
    </w:p>
    <w:p w14:paraId="1C829C91" w14:textId="77777777" w:rsidR="00BA301C" w:rsidRDefault="00000000">
      <w:pPr>
        <w:pStyle w:val="affffffa"/>
        <w:spacing w:after="360"/>
        <w:sectPr w:rsidR="00BA301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59BD2551" w14:textId="77777777" w:rsidR="00BA301C" w:rsidRPr="003D2192" w:rsidRDefault="00000000">
      <w:pPr>
        <w:pStyle w:val="a6"/>
        <w:spacing w:before="900" w:after="360"/>
      </w:pPr>
      <w:bookmarkStart w:id="28" w:name="_Toc167389483"/>
      <w:bookmarkStart w:id="29" w:name="BookMark2"/>
      <w:bookmarkEnd w:id="21"/>
      <w:r w:rsidRPr="003D2192">
        <w:rPr>
          <w:spacing w:val="320"/>
        </w:rPr>
        <w:lastRenderedPageBreak/>
        <w:t>前</w:t>
      </w:r>
      <w:r w:rsidRPr="003D2192">
        <w:t>言</w:t>
      </w:r>
      <w:bookmarkEnd w:id="22"/>
      <w:bookmarkEnd w:id="23"/>
      <w:bookmarkEnd w:id="24"/>
      <w:bookmarkEnd w:id="25"/>
      <w:bookmarkEnd w:id="26"/>
      <w:bookmarkEnd w:id="27"/>
      <w:bookmarkEnd w:id="28"/>
    </w:p>
    <w:p w14:paraId="484D6892" w14:textId="77777777" w:rsidR="00BA301C" w:rsidRPr="003D2192" w:rsidRDefault="00000000">
      <w:pPr>
        <w:pStyle w:val="afffff5"/>
        <w:ind w:firstLine="420"/>
      </w:pPr>
      <w:r w:rsidRPr="003D2192">
        <w:rPr>
          <w:rFonts w:hint="eastAsia"/>
        </w:rPr>
        <w:t>本文件按照GB/T 1.1—2020《标准化工作导则 第1部分：标准化文件的结构和起草规则》和GB/T 20001.7-201X《标准编写规则 第7部分：指南标准》的规定起草</w:t>
      </w:r>
    </w:p>
    <w:p w14:paraId="5CB18234" w14:textId="77777777" w:rsidR="00BA301C" w:rsidRPr="003D2192" w:rsidRDefault="00BA301C">
      <w:pPr>
        <w:pStyle w:val="afffff5"/>
        <w:ind w:firstLine="420"/>
      </w:pPr>
    </w:p>
    <w:p w14:paraId="20DCE494" w14:textId="77777777" w:rsidR="00BA301C" w:rsidRPr="003D2192" w:rsidRDefault="00000000">
      <w:pPr>
        <w:pStyle w:val="afffff5"/>
        <w:ind w:firstLine="420"/>
      </w:pPr>
      <w:r w:rsidRPr="003D2192">
        <w:rPr>
          <w:rFonts w:hint="eastAsia"/>
        </w:rPr>
        <w:t>本文件由核能行业协会提出。</w:t>
      </w:r>
    </w:p>
    <w:p w14:paraId="5539B384" w14:textId="77777777" w:rsidR="00BA301C" w:rsidRPr="003D2192" w:rsidRDefault="00000000">
      <w:pPr>
        <w:pStyle w:val="afffff5"/>
        <w:ind w:firstLine="420"/>
      </w:pPr>
      <w:r w:rsidRPr="003D2192">
        <w:rPr>
          <w:rFonts w:hint="eastAsia"/>
        </w:rPr>
        <w:t>本文件由核能行业协会归口。</w:t>
      </w:r>
    </w:p>
    <w:p w14:paraId="21A8C02C" w14:textId="77777777" w:rsidR="00BA301C" w:rsidRPr="003D2192" w:rsidRDefault="00000000">
      <w:pPr>
        <w:pStyle w:val="afffff5"/>
        <w:ind w:firstLine="420"/>
      </w:pPr>
      <w:r w:rsidRPr="003D2192">
        <w:rPr>
          <w:rFonts w:hint="eastAsia"/>
        </w:rPr>
        <w:t>本文件起草单位：</w:t>
      </w:r>
      <w:proofErr w:type="gramStart"/>
      <w:r w:rsidRPr="003D2192">
        <w:rPr>
          <w:rFonts w:hint="eastAsia"/>
        </w:rPr>
        <w:t>核电运行核电运行</w:t>
      </w:r>
      <w:proofErr w:type="gramEnd"/>
      <w:r w:rsidRPr="003D2192">
        <w:rPr>
          <w:rFonts w:hint="eastAsia"/>
        </w:rPr>
        <w:t>研究（上海）有限公司、江苏核电有限公司、中核核电运行管理有限公司、福建福清核电有限公司、海南核电有限公司、三门核电有限公司、中核霞浦核电有限公司、广东台山核电有限公司、华能海南昌江核电有限公司。</w:t>
      </w:r>
    </w:p>
    <w:p w14:paraId="61E11D11" w14:textId="77777777" w:rsidR="00BA301C" w:rsidRPr="003D2192" w:rsidRDefault="00000000">
      <w:pPr>
        <w:pStyle w:val="afffff5"/>
        <w:ind w:firstLine="420"/>
      </w:pPr>
      <w:r w:rsidRPr="003D2192">
        <w:rPr>
          <w:rFonts w:hint="eastAsia"/>
        </w:rPr>
        <w:t>本文件主要起草人：陆玉中、林凌、林旭、马玥竹、林发雄、龙腾、王建军、张福海、马立、汪晓明、熊炎林、张爱国、汤葵、刘世帅、周炳鉴、应黎明、苏云、丁剑阳、屠庄炜、刘浩、柳园华、李晓刚、施剑雄、熊兴华、田雷雷、程鹏、刘恒、</w:t>
      </w:r>
    </w:p>
    <w:p w14:paraId="14250127" w14:textId="77777777" w:rsidR="00BA301C" w:rsidRDefault="00BA301C">
      <w:pPr>
        <w:pStyle w:val="afffff5"/>
        <w:ind w:firstLine="420"/>
      </w:pPr>
    </w:p>
    <w:p w14:paraId="6AA9DED3" w14:textId="77777777" w:rsidR="00BA301C" w:rsidRDefault="00BA301C">
      <w:pPr>
        <w:pStyle w:val="afffff5"/>
        <w:ind w:firstLine="420"/>
        <w:sectPr w:rsidR="00BA301C">
          <w:pgSz w:w="11906" w:h="16838"/>
          <w:pgMar w:top="1928" w:right="1134" w:bottom="1134" w:left="1134" w:header="1418" w:footer="1134" w:gutter="284"/>
          <w:pgNumType w:fmt="upperRoman"/>
          <w:cols w:space="425"/>
          <w:formProt w:val="0"/>
          <w:docGrid w:linePitch="312"/>
        </w:sectPr>
      </w:pPr>
    </w:p>
    <w:p w14:paraId="11D6448F" w14:textId="77777777" w:rsidR="00BA301C" w:rsidRDefault="00BA301C">
      <w:pPr>
        <w:spacing w:line="20" w:lineRule="exact"/>
        <w:jc w:val="center"/>
        <w:rPr>
          <w:rFonts w:ascii="黑体" w:eastAsia="黑体" w:hAnsi="黑体" w:hint="eastAsia"/>
          <w:sz w:val="32"/>
          <w:szCs w:val="32"/>
        </w:rPr>
      </w:pPr>
      <w:bookmarkStart w:id="30" w:name="BookMark4"/>
      <w:bookmarkEnd w:id="29"/>
    </w:p>
    <w:p w14:paraId="6410D7BF" w14:textId="77777777" w:rsidR="00BA301C" w:rsidRDefault="00BA301C">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4A19A83C96BF40389FE55C8BED4056F0"/>
        </w:placeholder>
      </w:sdtPr>
      <w:sdtEndPr>
        <w:rPr>
          <w:color w:val="000000" w:themeColor="text1"/>
        </w:rPr>
      </w:sdtEndPr>
      <w:sdtContent>
        <w:p w14:paraId="7531A442" w14:textId="77777777" w:rsidR="00BA301C" w:rsidRDefault="00000000">
          <w:pPr>
            <w:pStyle w:val="afffffffff8"/>
            <w:spacing w:beforeLines="1" w:before="2" w:afterLines="220" w:after="528"/>
            <w:rPr>
              <w:rFonts w:hint="eastAsia"/>
              <w:color w:val="000000" w:themeColor="text1"/>
            </w:rPr>
          </w:pPr>
          <w:r>
            <w:rPr>
              <w:rFonts w:hint="eastAsia"/>
              <w:color w:val="000000" w:themeColor="text1"/>
            </w:rPr>
            <w:t>核电厂运行指标管理指南</w:t>
          </w:r>
        </w:p>
      </w:sdtContent>
    </w:sdt>
    <w:p w14:paraId="0C776B12" w14:textId="77777777" w:rsidR="00BA301C" w:rsidRDefault="00000000">
      <w:pPr>
        <w:pStyle w:val="affc"/>
        <w:spacing w:before="240" w:after="240"/>
        <w:rPr>
          <w:color w:val="000000" w:themeColor="text1"/>
        </w:rPr>
      </w:pPr>
      <w:bookmarkStart w:id="32" w:name="_Toc167389484"/>
      <w:bookmarkStart w:id="33" w:name="_Toc26986530"/>
      <w:bookmarkStart w:id="34" w:name="_Toc24884218"/>
      <w:bookmarkStart w:id="35" w:name="_Toc144567307"/>
      <w:bookmarkStart w:id="36" w:name="_Toc97192964"/>
      <w:bookmarkStart w:id="37" w:name="_Toc26986771"/>
      <w:bookmarkStart w:id="38" w:name="_Toc24884211"/>
      <w:bookmarkStart w:id="39" w:name="_Toc26718930"/>
      <w:bookmarkStart w:id="40" w:name="_Toc17233333"/>
      <w:bookmarkStart w:id="41" w:name="_Toc144573133"/>
      <w:bookmarkStart w:id="42" w:name="_Toc144568112"/>
      <w:bookmarkStart w:id="43" w:name="_Toc17233325"/>
      <w:bookmarkStart w:id="44" w:name="_Toc144658627"/>
      <w:bookmarkStart w:id="45" w:name="_Toc144652373"/>
      <w:bookmarkStart w:id="46" w:name="_Toc144658618"/>
      <w:bookmarkStart w:id="47" w:name="_Toc26648465"/>
      <w:bookmarkStart w:id="48" w:name="_Toc167209172"/>
      <w:bookmarkEnd w:id="31"/>
      <w:r>
        <w:rPr>
          <w:rFonts w:hint="eastAsia"/>
          <w:color w:val="000000" w:themeColor="text1"/>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C534503" w14:textId="77777777" w:rsidR="00BA301C" w:rsidRDefault="00000000">
      <w:pPr>
        <w:pStyle w:val="afffff5"/>
        <w:ind w:firstLine="420"/>
        <w:rPr>
          <w:color w:val="000000" w:themeColor="text1"/>
        </w:rPr>
      </w:pPr>
      <w:bookmarkStart w:id="49" w:name="_Toc17233326"/>
      <w:bookmarkStart w:id="50" w:name="_Toc24884212"/>
      <w:bookmarkStart w:id="51" w:name="_Toc26648466"/>
      <w:bookmarkStart w:id="52" w:name="_Toc17233334"/>
      <w:bookmarkStart w:id="53" w:name="_Toc24884219"/>
      <w:r>
        <w:rPr>
          <w:rFonts w:hint="eastAsia"/>
          <w:color w:val="000000" w:themeColor="text1"/>
        </w:rPr>
        <w:t>本文件规定了核电厂功率运行期间运行领域绩效指标。</w:t>
      </w:r>
    </w:p>
    <w:p w14:paraId="018B7C21" w14:textId="77777777" w:rsidR="00BA301C" w:rsidRDefault="00000000">
      <w:pPr>
        <w:pStyle w:val="afffff5"/>
        <w:ind w:firstLine="420"/>
        <w:rPr>
          <w:color w:val="000000" w:themeColor="text1"/>
        </w:rPr>
      </w:pPr>
      <w:r>
        <w:rPr>
          <w:rFonts w:hint="eastAsia"/>
          <w:color w:val="000000" w:themeColor="text1"/>
        </w:rPr>
        <w:t>本文件适用于核电厂，其它核动力厂可参照执行。</w:t>
      </w:r>
    </w:p>
    <w:p w14:paraId="5F25B103" w14:textId="77777777" w:rsidR="00BA301C" w:rsidRDefault="00000000">
      <w:pPr>
        <w:pStyle w:val="affc"/>
        <w:spacing w:before="240" w:after="240"/>
        <w:rPr>
          <w:color w:val="000000" w:themeColor="text1"/>
        </w:rPr>
      </w:pPr>
      <w:bookmarkStart w:id="54" w:name="_Toc26986772"/>
      <w:bookmarkStart w:id="55" w:name="_Toc144573134"/>
      <w:bookmarkStart w:id="56" w:name="_Toc144567308"/>
      <w:bookmarkStart w:id="57" w:name="_Toc144652374"/>
      <w:bookmarkStart w:id="58" w:name="_Toc144568113"/>
      <w:bookmarkStart w:id="59" w:name="_Toc26718931"/>
      <w:bookmarkStart w:id="60" w:name="_Toc26986531"/>
      <w:bookmarkStart w:id="61" w:name="_Toc167209173"/>
      <w:bookmarkStart w:id="62" w:name="_Toc167389485"/>
      <w:bookmarkStart w:id="63" w:name="_Toc97192965"/>
      <w:bookmarkStart w:id="64" w:name="_Toc144658619"/>
      <w:bookmarkStart w:id="65" w:name="_Toc144658628"/>
      <w:r>
        <w:rPr>
          <w:rFonts w:hint="eastAsia"/>
          <w:color w:val="000000" w:themeColor="text1"/>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color w:val="000000" w:themeColor="text1"/>
        </w:rPr>
        <w:id w:val="715848253"/>
        <w:placeholder>
          <w:docPart w:val="941EAA587F2A427A944B588795099A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404B4AE" w14:textId="77777777" w:rsidR="00BA301C" w:rsidRDefault="00000000">
          <w:pPr>
            <w:pStyle w:val="afffff5"/>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944E6E" w14:textId="77777777" w:rsidR="00BA301C" w:rsidRDefault="00000000">
      <w:pPr>
        <w:pStyle w:val="affc"/>
        <w:spacing w:before="240" w:after="240"/>
        <w:rPr>
          <w:color w:val="000000" w:themeColor="text1"/>
        </w:rPr>
      </w:pPr>
      <w:bookmarkStart w:id="66" w:name="_Toc144658629"/>
      <w:bookmarkStart w:id="67" w:name="_Toc144573135"/>
      <w:bookmarkStart w:id="68" w:name="_Toc167389486"/>
      <w:bookmarkStart w:id="69" w:name="_Toc144568114"/>
      <w:bookmarkStart w:id="70" w:name="_Toc144652375"/>
      <w:bookmarkStart w:id="71" w:name="_Toc97192966"/>
      <w:bookmarkStart w:id="72" w:name="_Toc144658620"/>
      <w:bookmarkStart w:id="73" w:name="_Toc144567309"/>
      <w:bookmarkStart w:id="74" w:name="_Toc167209174"/>
      <w:r>
        <w:rPr>
          <w:rFonts w:hint="eastAsia"/>
          <w:color w:val="000000" w:themeColor="text1"/>
        </w:rPr>
        <w:t>术语和定义</w:t>
      </w:r>
      <w:bookmarkEnd w:id="66"/>
      <w:bookmarkEnd w:id="67"/>
      <w:bookmarkEnd w:id="68"/>
      <w:bookmarkEnd w:id="69"/>
      <w:bookmarkEnd w:id="70"/>
      <w:bookmarkEnd w:id="71"/>
      <w:bookmarkEnd w:id="72"/>
      <w:bookmarkEnd w:id="73"/>
      <w:bookmarkEnd w:id="74"/>
    </w:p>
    <w:bookmarkStart w:id="75" w:name="_Toc26986532" w:displacedByCustomXml="next"/>
    <w:bookmarkEnd w:id="75" w:displacedByCustomXml="next"/>
    <w:sdt>
      <w:sdtPr>
        <w:rPr>
          <w:color w:val="000000" w:themeColor="text1"/>
        </w:rPr>
        <w:id w:val="-1909835108"/>
        <w:placeholder>
          <w:docPart w:val="7A725F35ED6449C981182349F8BDB0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9195EB" w14:textId="77777777" w:rsidR="00BA301C" w:rsidRDefault="00000000">
          <w:pPr>
            <w:pStyle w:val="afffff5"/>
            <w:ind w:firstLine="420"/>
            <w:rPr>
              <w:color w:val="000000" w:themeColor="text1"/>
            </w:rPr>
          </w:pPr>
          <w:r>
            <w:rPr>
              <w:color w:val="000000" w:themeColor="text1"/>
            </w:rPr>
            <w:t>下列术语和定义适用于本文件。</w:t>
          </w:r>
        </w:p>
      </w:sdtContent>
    </w:sdt>
    <w:p w14:paraId="4B314EE8"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临界</w:t>
      </w:r>
    </w:p>
    <w:p w14:paraId="3DAD01E8" w14:textId="77777777" w:rsidR="00BA301C" w:rsidRDefault="00000000">
      <w:pPr>
        <w:pStyle w:val="afffff5"/>
        <w:ind w:firstLine="420"/>
        <w:rPr>
          <w:color w:val="000000" w:themeColor="text1"/>
        </w:rPr>
      </w:pPr>
      <w:proofErr w:type="gramStart"/>
      <w:r>
        <w:rPr>
          <w:rFonts w:hint="eastAsia"/>
          <w:color w:val="000000" w:themeColor="text1"/>
        </w:rPr>
        <w:t>反应堆反应堆</w:t>
      </w:r>
      <w:proofErr w:type="gramEnd"/>
      <w:r>
        <w:rPr>
          <w:rFonts w:hint="eastAsia"/>
          <w:color w:val="000000" w:themeColor="text1"/>
        </w:rPr>
        <w:t>紧急停堆前处在稳定工况；有效增殖因子（</w:t>
      </w:r>
      <w:r>
        <w:rPr>
          <w:color w:val="000000" w:themeColor="text1"/>
        </w:rPr>
        <w:t>K</w:t>
      </w:r>
      <w:r>
        <w:rPr>
          <w:color w:val="000000" w:themeColor="text1"/>
          <w:vertAlign w:val="subscript"/>
        </w:rPr>
        <w:t>eff</w:t>
      </w:r>
      <w:r>
        <w:rPr>
          <w:rFonts w:hint="eastAsia"/>
          <w:color w:val="000000" w:themeColor="text1"/>
        </w:rPr>
        <w:t>）等于</w:t>
      </w:r>
      <w:r>
        <w:rPr>
          <w:color w:val="000000" w:themeColor="text1"/>
        </w:rPr>
        <w:t>1</w:t>
      </w:r>
      <w:r>
        <w:rPr>
          <w:rFonts w:hint="eastAsia"/>
          <w:color w:val="000000" w:themeColor="text1"/>
        </w:rPr>
        <w:t>的状态。</w:t>
      </w:r>
    </w:p>
    <w:p w14:paraId="312F0324"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t>7000</w:t>
      </w:r>
      <w:r>
        <w:rPr>
          <w:rFonts w:ascii="黑体" w:eastAsia="黑体" w:hAnsi="黑体" w:hint="eastAsia"/>
          <w:color w:val="000000" w:themeColor="text1"/>
        </w:rPr>
        <w:t>小时</w:t>
      </w:r>
    </w:p>
    <w:p w14:paraId="73983818" w14:textId="77777777" w:rsidR="00BA301C" w:rsidRDefault="00000000">
      <w:pPr>
        <w:pStyle w:val="afffff5"/>
        <w:ind w:firstLine="420"/>
        <w:rPr>
          <w:color w:val="000000" w:themeColor="text1"/>
        </w:rPr>
      </w:pPr>
      <w:r>
        <w:rPr>
          <w:rFonts w:hint="eastAsia"/>
          <w:color w:val="000000" w:themeColor="text1"/>
        </w:rPr>
        <w:t>代表大多数数电厂一年内反应堆临界运行的小时数。</w:t>
      </w:r>
    </w:p>
    <w:p w14:paraId="31ACDD84"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紧急停堆</w:t>
      </w:r>
    </w:p>
    <w:p w14:paraId="4FBAE0E7" w14:textId="77777777" w:rsidR="00BA301C" w:rsidRDefault="00000000">
      <w:pPr>
        <w:pStyle w:val="afffff5"/>
        <w:ind w:firstLine="420"/>
        <w:rPr>
          <w:color w:val="000000" w:themeColor="text1"/>
        </w:rPr>
      </w:pPr>
      <w:r>
        <w:rPr>
          <w:rFonts w:hint="eastAsia"/>
          <w:color w:val="000000" w:themeColor="text1"/>
        </w:rPr>
        <w:t>指通过向反应堆快速引入负反应性，例如，通过快速插入控制棒、断开停堆断路器或多样性紧急停堆开关动作等方式，使反应堆从临界状态快速后退到次临界状态。</w:t>
      </w:r>
    </w:p>
    <w:p w14:paraId="4F52D07D"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非计划紧急停堆</w:t>
      </w:r>
    </w:p>
    <w:p w14:paraId="37152BB2" w14:textId="77777777" w:rsidR="00BA301C" w:rsidRDefault="00000000">
      <w:pPr>
        <w:pStyle w:val="afffff5"/>
        <w:ind w:firstLine="420"/>
        <w:rPr>
          <w:color w:val="000000" w:themeColor="text1"/>
        </w:rPr>
      </w:pPr>
      <w:r>
        <w:rPr>
          <w:color w:val="000000" w:themeColor="text1"/>
        </w:rPr>
        <w:t>指不是按照计划或规程要求的紧急停堆，包括发生在规程或计划的执行过程中的意外紧急停堆</w:t>
      </w:r>
      <w:r>
        <w:rPr>
          <w:rFonts w:hint="eastAsia"/>
          <w:color w:val="000000" w:themeColor="text1"/>
        </w:rPr>
        <w:t>。</w:t>
      </w:r>
    </w:p>
    <w:p w14:paraId="423A0ECD"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额定发电量</w:t>
      </w:r>
    </w:p>
    <w:p w14:paraId="48569EB8" w14:textId="77777777" w:rsidR="00BA301C" w:rsidRDefault="00000000">
      <w:pPr>
        <w:pStyle w:val="afffff5"/>
        <w:ind w:firstLine="420"/>
        <w:rPr>
          <w:color w:val="000000" w:themeColor="text1"/>
        </w:rPr>
      </w:pPr>
      <w:r>
        <w:rPr>
          <w:rFonts w:hint="eastAsia"/>
          <w:color w:val="000000" w:themeColor="text1"/>
        </w:rPr>
        <w:t>指一个时期内机组始终以额定功率运行所发电量。</w:t>
      </w:r>
    </w:p>
    <w:p w14:paraId="3E13E74A"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非计划</w:t>
      </w:r>
    </w:p>
    <w:p w14:paraId="1C9CD1AF" w14:textId="77777777" w:rsidR="00BA301C" w:rsidRDefault="00000000">
      <w:pPr>
        <w:pStyle w:val="afffff5"/>
        <w:ind w:firstLine="420"/>
        <w:rPr>
          <w:color w:val="000000" w:themeColor="text1"/>
        </w:rPr>
      </w:pPr>
      <w:r>
        <w:rPr>
          <w:rFonts w:hint="eastAsia"/>
          <w:color w:val="000000" w:themeColor="text1"/>
        </w:rPr>
        <w:t>不是四周前计划的活动，不包括10个工作日前计划好的停机、电网调度要求的停机。</w:t>
      </w:r>
    </w:p>
    <w:p w14:paraId="4724EB35"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非计划强迫损失发电量</w:t>
      </w:r>
    </w:p>
    <w:p w14:paraId="6E6038C7" w14:textId="77777777" w:rsidR="00BA301C" w:rsidRDefault="00000000">
      <w:pPr>
        <w:pStyle w:val="afffff5"/>
        <w:ind w:firstLine="420"/>
        <w:rPr>
          <w:color w:val="000000" w:themeColor="text1"/>
        </w:rPr>
      </w:pPr>
      <w:proofErr w:type="gramStart"/>
      <w:r>
        <w:rPr>
          <w:rFonts w:hint="eastAsia"/>
          <w:color w:val="000000" w:themeColor="text1"/>
        </w:rPr>
        <w:t>机组机组</w:t>
      </w:r>
      <w:proofErr w:type="gramEnd"/>
      <w:r>
        <w:rPr>
          <w:rFonts w:hint="eastAsia"/>
          <w:color w:val="000000" w:themeColor="text1"/>
        </w:rPr>
        <w:t>处在电网调度控制下时，由于电厂管理控制范围内的非计划停堆或非计划降负荷而少生产的电量。未提前4周安排的活动造成的强迫电量损失认为是非计划的。</w:t>
      </w:r>
    </w:p>
    <w:p w14:paraId="7C6F130A"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非计划延期损失发电量</w:t>
      </w:r>
    </w:p>
    <w:p w14:paraId="4C3A6470" w14:textId="77777777" w:rsidR="00BA301C" w:rsidRDefault="00000000">
      <w:pPr>
        <w:pStyle w:val="afffff5"/>
        <w:ind w:firstLine="420"/>
        <w:rPr>
          <w:color w:val="000000" w:themeColor="text1"/>
        </w:rPr>
      </w:pPr>
      <w:r>
        <w:rPr>
          <w:rFonts w:hint="eastAsia"/>
          <w:color w:val="000000" w:themeColor="text1"/>
        </w:rPr>
        <w:t>由于计划检修期的延长而少生产的电量，该检修期的延长是由于原进度表的工作没有完成而超过原计划结束日期，或是由于没有提前原计划结束日期4周在原进度表中增加新任务而导致。</w:t>
      </w:r>
    </w:p>
    <w:p w14:paraId="772BF5A0"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计划损失发电量</w:t>
      </w:r>
    </w:p>
    <w:p w14:paraId="6C7AEC44" w14:textId="77777777" w:rsidR="00BA301C" w:rsidRDefault="00000000">
      <w:pPr>
        <w:pStyle w:val="afffff5"/>
        <w:ind w:firstLine="420"/>
        <w:rPr>
          <w:color w:val="000000" w:themeColor="text1"/>
        </w:rPr>
      </w:pPr>
      <w:r>
        <w:rPr>
          <w:rFonts w:hint="eastAsia"/>
          <w:color w:val="000000" w:themeColor="text1"/>
        </w:rPr>
        <w:t>提前4周前4周以上时间安排的停堆检修或降功率活动造成的电量损失。</w:t>
      </w:r>
    </w:p>
    <w:p w14:paraId="42C6D155"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指标</w:t>
      </w:r>
    </w:p>
    <w:p w14:paraId="6059819E" w14:textId="77777777" w:rsidR="00BA301C" w:rsidRDefault="00000000">
      <w:pPr>
        <w:pStyle w:val="afffff5"/>
        <w:ind w:firstLine="420"/>
        <w:rPr>
          <w:color w:val="000000" w:themeColor="text1"/>
        </w:rPr>
      </w:pPr>
      <w:r>
        <w:rPr>
          <w:color w:val="000000" w:themeColor="text1"/>
        </w:rPr>
        <w:lastRenderedPageBreak/>
        <w:t>是说明总体数量特征的概念，一般由指标说明和指标数值两部分组成，体现了事物质的规定性和量的规定性两个方面的特点</w:t>
      </w:r>
      <w:r>
        <w:rPr>
          <w:rFonts w:hint="eastAsia"/>
          <w:color w:val="000000" w:themeColor="text1"/>
        </w:rPr>
        <w:t>。</w:t>
      </w:r>
    </w:p>
    <w:p w14:paraId="64CE7F23" w14:textId="77777777" w:rsidR="00BA301C" w:rsidRDefault="00BA301C">
      <w:pPr>
        <w:pStyle w:val="afffffffffff4"/>
        <w:ind w:left="420" w:hangingChars="200" w:hanging="420"/>
        <w:rPr>
          <w:rFonts w:ascii="黑体" w:eastAsia="黑体" w:hAnsi="黑体" w:hint="eastAsia"/>
          <w:color w:val="000000" w:themeColor="text1"/>
        </w:rPr>
      </w:pPr>
    </w:p>
    <w:p w14:paraId="60F03B67" w14:textId="77777777" w:rsidR="00BA301C" w:rsidRDefault="00000000">
      <w:pPr>
        <w:pStyle w:val="afffffffffff4"/>
        <w:numPr>
          <w:ilvl w:val="0"/>
          <w:numId w:val="0"/>
        </w:numPr>
        <w:ind w:left="420"/>
        <w:rPr>
          <w:rFonts w:ascii="黑体" w:eastAsia="黑体" w:hAnsi="黑体" w:hint="eastAsia"/>
          <w:color w:val="000000" w:themeColor="text1"/>
        </w:rPr>
      </w:pPr>
      <w:r>
        <w:rPr>
          <w:rFonts w:ascii="黑体" w:eastAsia="黑体" w:hAnsi="黑体" w:hint="eastAsia"/>
          <w:color w:val="000000" w:themeColor="text1"/>
        </w:rPr>
        <w:t>指标体系</w:t>
      </w:r>
    </w:p>
    <w:p w14:paraId="7B23C883" w14:textId="77777777" w:rsidR="00BA301C" w:rsidRDefault="00000000">
      <w:pPr>
        <w:pStyle w:val="afffff5"/>
        <w:ind w:firstLine="420"/>
        <w:rPr>
          <w:color w:val="000000" w:themeColor="text1"/>
        </w:rPr>
      </w:pPr>
      <w:r>
        <w:rPr>
          <w:rFonts w:hint="eastAsia"/>
          <w:color w:val="000000" w:themeColor="text1"/>
        </w:rPr>
        <w:t>用来考察、跟踪和评价核电厂生产和管理活动状况及最终绩效的工具，是把客观上存在联系的、反映管理业绩的若干指标，科学地加以分类和组合形成的有机体系。</w:t>
      </w:r>
    </w:p>
    <w:p w14:paraId="26D05196" w14:textId="77777777" w:rsidR="00BA301C" w:rsidRDefault="00BA301C">
      <w:pPr>
        <w:pStyle w:val="afffffffffff4"/>
        <w:ind w:left="420" w:hangingChars="200" w:hanging="420"/>
        <w:rPr>
          <w:rFonts w:ascii="黑体" w:eastAsia="黑体" w:hAnsi="黑体" w:hint="eastAsia"/>
          <w:color w:val="000000" w:themeColor="text1"/>
        </w:rPr>
      </w:pPr>
    </w:p>
    <w:p w14:paraId="20D6B50C" w14:textId="77777777" w:rsidR="00BA301C" w:rsidRDefault="00000000">
      <w:pPr>
        <w:pStyle w:val="afffffffffff4"/>
        <w:numPr>
          <w:ilvl w:val="0"/>
          <w:numId w:val="0"/>
        </w:numPr>
        <w:ind w:left="420"/>
        <w:rPr>
          <w:rFonts w:ascii="黑体" w:eastAsia="黑体" w:hAnsi="黑体" w:hint="eastAsia"/>
          <w:color w:val="000000" w:themeColor="text1"/>
        </w:rPr>
      </w:pPr>
      <w:r>
        <w:rPr>
          <w:rFonts w:ascii="黑体" w:eastAsia="黑体" w:hAnsi="黑体" w:hint="eastAsia"/>
          <w:color w:val="000000" w:themeColor="text1"/>
        </w:rPr>
        <w:t>指标管理</w:t>
      </w:r>
    </w:p>
    <w:p w14:paraId="67EC40C2" w14:textId="77777777" w:rsidR="00BA301C" w:rsidRDefault="00000000">
      <w:pPr>
        <w:pStyle w:val="afffff5"/>
        <w:ind w:firstLine="420"/>
        <w:rPr>
          <w:color w:val="000000" w:themeColor="text1"/>
        </w:rPr>
      </w:pPr>
      <w:r>
        <w:rPr>
          <w:rFonts w:hint="eastAsia"/>
          <w:color w:val="000000" w:themeColor="text1"/>
        </w:rPr>
        <w:t>指标体系的建立、指标数据的收集核算、指标结果的分析评价比对等管理活动。</w:t>
      </w:r>
    </w:p>
    <w:p w14:paraId="6D7D438A"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临时运行规程</w:t>
      </w:r>
    </w:p>
    <w:p w14:paraId="79950901" w14:textId="77777777" w:rsidR="00BA301C" w:rsidRDefault="00000000">
      <w:pPr>
        <w:pStyle w:val="afffff5"/>
        <w:ind w:firstLine="420"/>
        <w:rPr>
          <w:color w:val="000000" w:themeColor="text1"/>
        </w:rPr>
      </w:pPr>
      <w:r>
        <w:rPr>
          <w:rFonts w:hint="eastAsia"/>
          <w:color w:val="000000" w:themeColor="text1"/>
        </w:rPr>
        <w:t>由于设备缺陷、变更改造等原因，现有运行规程已不适应现场实际，需要编制临时的运行规程，使运行人员的运行操作有正确的文件作为依据。</w:t>
      </w:r>
    </w:p>
    <w:p w14:paraId="65875F93"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操纵员补偿</w:t>
      </w:r>
    </w:p>
    <w:p w14:paraId="156A801E" w14:textId="77777777" w:rsidR="00BA301C" w:rsidRDefault="00000000">
      <w:pPr>
        <w:pStyle w:val="afffff5"/>
        <w:ind w:firstLine="420"/>
        <w:rPr>
          <w:color w:val="000000" w:themeColor="text1"/>
        </w:rPr>
      </w:pPr>
      <w:r>
        <w:rPr>
          <w:rFonts w:hint="eastAsia"/>
          <w:color w:val="000000" w:themeColor="text1"/>
        </w:rPr>
        <w:t>要求操纵员在在电站瞬态过程中，采取某种形式的补偿措施的缺陷。</w:t>
      </w:r>
    </w:p>
    <w:p w14:paraId="31C1C016" w14:textId="77777777" w:rsidR="00BA301C" w:rsidRDefault="00000000">
      <w:pPr>
        <w:pStyle w:val="afffffffffff4"/>
        <w:ind w:left="420" w:hangingChars="200" w:hanging="420"/>
        <w:rPr>
          <w:rFonts w:ascii="黑体" w:eastAsia="黑体" w:hAnsi="黑体" w:hint="eastAsia"/>
          <w:color w:val="000000" w:themeColor="text1"/>
        </w:rPr>
      </w:pPr>
      <w:r>
        <w:rPr>
          <w:rFonts w:ascii="黑体" w:eastAsia="黑体" w:hAnsi="黑体"/>
          <w:color w:val="000000" w:themeColor="text1"/>
        </w:rPr>
        <w:br/>
      </w:r>
      <w:r>
        <w:rPr>
          <w:rFonts w:ascii="黑体" w:eastAsia="黑体" w:hAnsi="黑体" w:hint="eastAsia"/>
          <w:color w:val="000000" w:themeColor="text1"/>
        </w:rPr>
        <w:t>操纵员负担</w:t>
      </w:r>
    </w:p>
    <w:p w14:paraId="70F2E6E1" w14:textId="77777777" w:rsidR="00BA301C" w:rsidRDefault="00000000">
      <w:pPr>
        <w:pStyle w:val="afffff5"/>
        <w:ind w:firstLine="420"/>
        <w:rPr>
          <w:color w:val="000000" w:themeColor="text1"/>
        </w:rPr>
      </w:pPr>
      <w:r>
        <w:rPr>
          <w:rFonts w:hint="eastAsia"/>
          <w:color w:val="000000" w:themeColor="text1"/>
        </w:rPr>
        <w:t>可能会给操纵员带来不合理负担的设备缺陷，或者需要采取大量补偿措施，从而可能降低操纵员监测电厂或响应瞬态的能力，或者需要采取大量补偿措施，从而可能会对操纵员的人员绩效构成挑战，且出现的错误可能导致机组处于瞬态。</w:t>
      </w:r>
    </w:p>
    <w:p w14:paraId="31902C3E" w14:textId="77777777" w:rsidR="00BA301C" w:rsidRDefault="00000000">
      <w:pPr>
        <w:pStyle w:val="affc"/>
        <w:spacing w:before="240" w:after="240"/>
        <w:rPr>
          <w:color w:val="000000" w:themeColor="text1"/>
        </w:rPr>
      </w:pPr>
      <w:bookmarkStart w:id="76" w:name="_Toc167389487"/>
      <w:r>
        <w:rPr>
          <w:rFonts w:hint="eastAsia"/>
          <w:color w:val="000000" w:themeColor="text1"/>
        </w:rPr>
        <w:t>责任</w:t>
      </w:r>
      <w:bookmarkEnd w:id="76"/>
    </w:p>
    <w:p w14:paraId="02FE0C96" w14:textId="77777777" w:rsidR="00BA301C" w:rsidRDefault="00000000">
      <w:pPr>
        <w:pStyle w:val="affd"/>
        <w:spacing w:before="120" w:after="120"/>
        <w:rPr>
          <w:color w:val="000000" w:themeColor="text1"/>
        </w:rPr>
      </w:pPr>
      <w:r>
        <w:rPr>
          <w:rFonts w:hint="eastAsia"/>
          <w:color w:val="000000" w:themeColor="text1"/>
        </w:rPr>
        <w:t>公司主管领导</w:t>
      </w:r>
    </w:p>
    <w:p w14:paraId="67358399" w14:textId="77777777" w:rsidR="00BA301C" w:rsidRDefault="00000000">
      <w:pPr>
        <w:pStyle w:val="af5"/>
        <w:rPr>
          <w:color w:val="000000" w:themeColor="text1"/>
        </w:rPr>
      </w:pPr>
      <w:r>
        <w:rPr>
          <w:color w:val="000000" w:themeColor="text1"/>
        </w:rPr>
        <w:t>建立核电厂</w:t>
      </w:r>
      <w:r>
        <w:rPr>
          <w:rFonts w:hint="eastAsia"/>
          <w:color w:val="000000" w:themeColor="text1"/>
        </w:rPr>
        <w:t>运行</w:t>
      </w:r>
      <w:r>
        <w:rPr>
          <w:color w:val="000000" w:themeColor="text1"/>
        </w:rPr>
        <w:t>指标管理体系</w:t>
      </w:r>
      <w:r>
        <w:rPr>
          <w:rFonts w:hint="eastAsia"/>
          <w:color w:val="000000" w:themeColor="text1"/>
        </w:rPr>
        <w:t>；</w:t>
      </w:r>
    </w:p>
    <w:p w14:paraId="0B066BC4" w14:textId="77777777" w:rsidR="00BA301C" w:rsidRDefault="00000000">
      <w:pPr>
        <w:pStyle w:val="af5"/>
        <w:rPr>
          <w:color w:val="000000" w:themeColor="text1"/>
        </w:rPr>
      </w:pPr>
      <w:r>
        <w:rPr>
          <w:rFonts w:hint="eastAsia"/>
          <w:color w:val="000000" w:themeColor="text1"/>
        </w:rPr>
        <w:t>监督运行指标管理。</w:t>
      </w:r>
    </w:p>
    <w:p w14:paraId="1060E6E4" w14:textId="77777777" w:rsidR="00BA301C" w:rsidRDefault="00000000">
      <w:pPr>
        <w:pStyle w:val="affd"/>
        <w:spacing w:before="120" w:after="120"/>
        <w:rPr>
          <w:color w:val="000000" w:themeColor="text1"/>
        </w:rPr>
      </w:pPr>
      <w:r>
        <w:rPr>
          <w:rFonts w:hint="eastAsia"/>
          <w:color w:val="000000" w:themeColor="text1"/>
        </w:rPr>
        <w:t>指标体系主管部门</w:t>
      </w:r>
    </w:p>
    <w:p w14:paraId="70868481" w14:textId="77777777" w:rsidR="00BA301C" w:rsidRDefault="00000000">
      <w:pPr>
        <w:pStyle w:val="af5"/>
        <w:numPr>
          <w:ilvl w:val="0"/>
          <w:numId w:val="32"/>
        </w:numPr>
        <w:rPr>
          <w:color w:val="000000" w:themeColor="text1"/>
        </w:rPr>
      </w:pPr>
      <w:r>
        <w:rPr>
          <w:color w:val="000000" w:themeColor="text1"/>
        </w:rPr>
        <w:t>组织制定</w:t>
      </w:r>
      <w:r>
        <w:rPr>
          <w:rFonts w:hint="eastAsia"/>
          <w:color w:val="000000" w:themeColor="text1"/>
        </w:rPr>
        <w:t>/</w:t>
      </w:r>
      <w:r>
        <w:rPr>
          <w:color w:val="000000" w:themeColor="text1"/>
        </w:rPr>
        <w:t>修订运行指标</w:t>
      </w:r>
      <w:r>
        <w:rPr>
          <w:rFonts w:hint="eastAsia"/>
          <w:color w:val="000000" w:themeColor="text1"/>
        </w:rPr>
        <w:t>的</w:t>
      </w:r>
      <w:r>
        <w:rPr>
          <w:color w:val="000000" w:themeColor="text1"/>
        </w:rPr>
        <w:t>名称、定义、基础数据、计算方法、状态评价准则</w:t>
      </w:r>
      <w:r>
        <w:rPr>
          <w:rFonts w:hint="eastAsia"/>
          <w:color w:val="000000" w:themeColor="text1"/>
        </w:rPr>
        <w:t>等；</w:t>
      </w:r>
    </w:p>
    <w:p w14:paraId="7396343C" w14:textId="77777777" w:rsidR="00BA301C" w:rsidRDefault="00000000">
      <w:pPr>
        <w:pStyle w:val="af5"/>
        <w:numPr>
          <w:ilvl w:val="0"/>
          <w:numId w:val="32"/>
        </w:numPr>
        <w:rPr>
          <w:color w:val="000000" w:themeColor="text1"/>
        </w:rPr>
      </w:pPr>
      <w:r>
        <w:rPr>
          <w:color w:val="000000" w:themeColor="text1"/>
        </w:rPr>
        <w:t>指导</w:t>
      </w:r>
      <w:r>
        <w:rPr>
          <w:rFonts w:hint="eastAsia"/>
          <w:color w:val="000000" w:themeColor="text1"/>
        </w:rPr>
        <w:t>其它部门</w:t>
      </w:r>
      <w:r>
        <w:rPr>
          <w:color w:val="000000" w:themeColor="text1"/>
        </w:rPr>
        <w:t>完成指标数据统计、评价、</w:t>
      </w:r>
      <w:r>
        <w:rPr>
          <w:rFonts w:hint="eastAsia"/>
          <w:color w:val="000000" w:themeColor="text1"/>
        </w:rPr>
        <w:t>异常/</w:t>
      </w:r>
      <w:r>
        <w:rPr>
          <w:color w:val="000000" w:themeColor="text1"/>
        </w:rPr>
        <w:t>劣化原因分析等</w:t>
      </w:r>
      <w:r>
        <w:rPr>
          <w:rFonts w:hint="eastAsia"/>
          <w:color w:val="000000" w:themeColor="text1"/>
        </w:rPr>
        <w:t>；</w:t>
      </w:r>
    </w:p>
    <w:p w14:paraId="645EC6E0" w14:textId="77777777" w:rsidR="00BA301C" w:rsidRDefault="00000000">
      <w:pPr>
        <w:pStyle w:val="af5"/>
        <w:numPr>
          <w:ilvl w:val="0"/>
          <w:numId w:val="32"/>
        </w:numPr>
        <w:rPr>
          <w:color w:val="000000" w:themeColor="text1"/>
        </w:rPr>
      </w:pPr>
      <w:r>
        <w:rPr>
          <w:color w:val="000000" w:themeColor="text1"/>
        </w:rPr>
        <w:t>指标异常</w:t>
      </w:r>
      <w:r>
        <w:rPr>
          <w:rFonts w:hint="eastAsia"/>
          <w:color w:val="000000" w:themeColor="text1"/>
        </w:rPr>
        <w:t>/劣化</w:t>
      </w:r>
      <w:r>
        <w:rPr>
          <w:color w:val="000000" w:themeColor="text1"/>
        </w:rPr>
        <w:t>时，</w:t>
      </w:r>
      <w:r>
        <w:rPr>
          <w:rFonts w:hint="eastAsia"/>
          <w:color w:val="000000" w:themeColor="text1"/>
        </w:rPr>
        <w:t>督促</w:t>
      </w:r>
      <w:r>
        <w:rPr>
          <w:color w:val="000000" w:themeColor="text1"/>
        </w:rPr>
        <w:t>责任</w:t>
      </w:r>
      <w:r>
        <w:rPr>
          <w:rFonts w:hint="eastAsia"/>
          <w:color w:val="000000" w:themeColor="text1"/>
        </w:rPr>
        <w:t>部门</w:t>
      </w:r>
      <w:r>
        <w:rPr>
          <w:color w:val="000000" w:themeColor="text1"/>
        </w:rPr>
        <w:t>整改</w:t>
      </w:r>
      <w:r>
        <w:rPr>
          <w:rFonts w:hint="eastAsia"/>
          <w:color w:val="000000" w:themeColor="text1"/>
        </w:rPr>
        <w:t>。</w:t>
      </w:r>
    </w:p>
    <w:p w14:paraId="23005A91" w14:textId="77777777" w:rsidR="00BA301C" w:rsidRDefault="00000000">
      <w:pPr>
        <w:pStyle w:val="affd"/>
        <w:spacing w:before="120" w:after="120"/>
        <w:rPr>
          <w:color w:val="000000" w:themeColor="text1"/>
        </w:rPr>
      </w:pPr>
      <w:r>
        <w:rPr>
          <w:rFonts w:hint="eastAsia"/>
          <w:color w:val="000000" w:themeColor="text1"/>
        </w:rPr>
        <w:t>指标分析部门</w:t>
      </w:r>
    </w:p>
    <w:p w14:paraId="5F9F2253" w14:textId="77777777" w:rsidR="00BA301C" w:rsidRDefault="00000000">
      <w:pPr>
        <w:pStyle w:val="af5"/>
        <w:numPr>
          <w:ilvl w:val="0"/>
          <w:numId w:val="33"/>
        </w:numPr>
        <w:rPr>
          <w:color w:val="000000" w:themeColor="text1"/>
        </w:rPr>
      </w:pPr>
      <w:r>
        <w:rPr>
          <w:color w:val="000000" w:themeColor="text1"/>
        </w:rPr>
        <w:t>归口管理指标异常</w:t>
      </w:r>
      <w:r>
        <w:rPr>
          <w:rFonts w:hint="eastAsia"/>
          <w:color w:val="000000" w:themeColor="text1"/>
        </w:rPr>
        <w:t>/劣化</w:t>
      </w:r>
      <w:r>
        <w:rPr>
          <w:color w:val="000000" w:themeColor="text1"/>
        </w:rPr>
        <w:t>原因分析</w:t>
      </w:r>
      <w:r>
        <w:rPr>
          <w:rFonts w:hint="eastAsia"/>
          <w:color w:val="000000" w:themeColor="text1"/>
        </w:rPr>
        <w:t>，</w:t>
      </w:r>
      <w:r>
        <w:rPr>
          <w:color w:val="000000" w:themeColor="text1"/>
        </w:rPr>
        <w:t>开发</w:t>
      </w:r>
      <w:r>
        <w:rPr>
          <w:rFonts w:hint="eastAsia"/>
          <w:color w:val="000000" w:themeColor="text1"/>
        </w:rPr>
        <w:t>整改行动。</w:t>
      </w:r>
    </w:p>
    <w:p w14:paraId="76F4A616" w14:textId="77777777" w:rsidR="00BA301C" w:rsidRDefault="00000000">
      <w:pPr>
        <w:pStyle w:val="affd"/>
        <w:spacing w:before="120" w:after="120"/>
        <w:rPr>
          <w:color w:val="000000" w:themeColor="text1"/>
        </w:rPr>
      </w:pPr>
      <w:r>
        <w:rPr>
          <w:rFonts w:hint="eastAsia"/>
          <w:color w:val="000000" w:themeColor="text1"/>
        </w:rPr>
        <w:t>指标统计部门</w:t>
      </w:r>
    </w:p>
    <w:p w14:paraId="22949554" w14:textId="77777777" w:rsidR="00BA301C" w:rsidRDefault="00000000">
      <w:pPr>
        <w:pStyle w:val="af5"/>
        <w:numPr>
          <w:ilvl w:val="0"/>
          <w:numId w:val="34"/>
        </w:numPr>
        <w:rPr>
          <w:color w:val="000000" w:themeColor="text1"/>
        </w:rPr>
      </w:pPr>
      <w:r>
        <w:rPr>
          <w:rFonts w:hint="eastAsia"/>
          <w:color w:val="000000" w:themeColor="text1"/>
        </w:rPr>
        <w:t>归口管理指标数据统计，</w:t>
      </w:r>
      <w:r>
        <w:rPr>
          <w:color w:val="000000" w:themeColor="text1"/>
        </w:rPr>
        <w:t>定期统计和填报相关指标数据</w:t>
      </w:r>
      <w:r>
        <w:rPr>
          <w:rFonts w:hint="eastAsia"/>
          <w:color w:val="000000" w:themeColor="text1"/>
        </w:rPr>
        <w:t>；</w:t>
      </w:r>
    </w:p>
    <w:p w14:paraId="39316A65" w14:textId="77777777" w:rsidR="00BA301C" w:rsidRDefault="00000000">
      <w:pPr>
        <w:pStyle w:val="af5"/>
        <w:numPr>
          <w:ilvl w:val="0"/>
          <w:numId w:val="34"/>
        </w:numPr>
        <w:rPr>
          <w:color w:val="000000" w:themeColor="text1"/>
        </w:rPr>
      </w:pPr>
      <w:r>
        <w:rPr>
          <w:rFonts w:hint="eastAsia"/>
          <w:color w:val="000000" w:themeColor="text1"/>
        </w:rPr>
        <w:t>本处室归口管理指标的异常/劣化原因分析。</w:t>
      </w:r>
    </w:p>
    <w:p w14:paraId="37CB64FB" w14:textId="77777777" w:rsidR="00BA301C" w:rsidRDefault="00000000">
      <w:pPr>
        <w:pStyle w:val="affd"/>
        <w:spacing w:before="120" w:after="120"/>
        <w:rPr>
          <w:color w:val="000000" w:themeColor="text1"/>
        </w:rPr>
      </w:pPr>
      <w:r>
        <w:rPr>
          <w:rFonts w:hint="eastAsia"/>
          <w:color w:val="000000" w:themeColor="text1"/>
        </w:rPr>
        <w:t>责任部门</w:t>
      </w:r>
    </w:p>
    <w:p w14:paraId="10EDC52E" w14:textId="77777777" w:rsidR="00BA301C" w:rsidRDefault="00000000">
      <w:pPr>
        <w:pStyle w:val="af5"/>
        <w:numPr>
          <w:ilvl w:val="0"/>
          <w:numId w:val="35"/>
        </w:numPr>
        <w:rPr>
          <w:color w:val="000000" w:themeColor="text1"/>
        </w:rPr>
      </w:pPr>
      <w:r>
        <w:rPr>
          <w:rFonts w:hint="eastAsia"/>
          <w:color w:val="000000" w:themeColor="text1"/>
        </w:rPr>
        <w:t>本部门责任导致运行指标异常/劣化的原因分析，并落实整改行动；</w:t>
      </w:r>
    </w:p>
    <w:p w14:paraId="0CB240F1" w14:textId="77777777" w:rsidR="00BA301C" w:rsidRDefault="00000000">
      <w:pPr>
        <w:pStyle w:val="af5"/>
        <w:numPr>
          <w:ilvl w:val="0"/>
          <w:numId w:val="35"/>
        </w:numPr>
        <w:rPr>
          <w:color w:val="000000" w:themeColor="text1"/>
        </w:rPr>
      </w:pPr>
      <w:r>
        <w:rPr>
          <w:rFonts w:hint="eastAsia"/>
          <w:color w:val="000000" w:themeColor="text1"/>
        </w:rPr>
        <w:t>协助指标分析部门进行其它运行指标异常/劣化原因分析。</w:t>
      </w:r>
    </w:p>
    <w:p w14:paraId="2D721F1D" w14:textId="77777777" w:rsidR="00BA301C" w:rsidRDefault="00000000">
      <w:pPr>
        <w:pStyle w:val="affc"/>
        <w:spacing w:before="240" w:after="240"/>
        <w:rPr>
          <w:color w:val="000000" w:themeColor="text1"/>
        </w:rPr>
      </w:pPr>
      <w:bookmarkStart w:id="77" w:name="_Toc167389488"/>
      <w:r>
        <w:rPr>
          <w:rFonts w:hint="eastAsia"/>
          <w:color w:val="000000" w:themeColor="text1"/>
        </w:rPr>
        <w:t>指标管理规定</w:t>
      </w:r>
      <w:bookmarkEnd w:id="77"/>
    </w:p>
    <w:p w14:paraId="0E2072E8" w14:textId="77777777" w:rsidR="00BA301C" w:rsidRDefault="00000000">
      <w:pPr>
        <w:pStyle w:val="affd"/>
        <w:spacing w:before="120" w:after="120"/>
        <w:rPr>
          <w:color w:val="000000" w:themeColor="text1"/>
        </w:rPr>
      </w:pPr>
      <w:r>
        <w:rPr>
          <w:rFonts w:hint="eastAsia"/>
          <w:color w:val="000000" w:themeColor="text1"/>
        </w:rPr>
        <w:t>管理原则</w:t>
      </w:r>
    </w:p>
    <w:p w14:paraId="0DE4D9D1" w14:textId="77777777" w:rsidR="00BA301C" w:rsidRDefault="00000000">
      <w:pPr>
        <w:pStyle w:val="af5"/>
        <w:numPr>
          <w:ilvl w:val="0"/>
          <w:numId w:val="36"/>
        </w:numPr>
        <w:rPr>
          <w:color w:val="000000" w:themeColor="text1"/>
          <w:kern w:val="2"/>
          <w:szCs w:val="21"/>
        </w:rPr>
      </w:pPr>
      <w:r>
        <w:rPr>
          <w:rFonts w:hAnsi="宋体" w:hint="eastAsia"/>
          <w:color w:val="000000" w:themeColor="text1"/>
        </w:rPr>
        <w:t>行业共性指标与电站个性指标相结合；</w:t>
      </w:r>
    </w:p>
    <w:p w14:paraId="1F84EEDC" w14:textId="77777777" w:rsidR="00BA301C" w:rsidRDefault="00000000">
      <w:pPr>
        <w:pStyle w:val="af5"/>
        <w:numPr>
          <w:ilvl w:val="0"/>
          <w:numId w:val="36"/>
        </w:numPr>
        <w:rPr>
          <w:color w:val="000000" w:themeColor="text1"/>
        </w:rPr>
      </w:pPr>
      <w:r>
        <w:rPr>
          <w:rFonts w:hint="eastAsia"/>
          <w:color w:val="000000" w:themeColor="text1"/>
        </w:rPr>
        <w:lastRenderedPageBreak/>
        <w:t>指标体系</w:t>
      </w:r>
      <w:proofErr w:type="gramStart"/>
      <w:r>
        <w:rPr>
          <w:rFonts w:hint="eastAsia"/>
          <w:color w:val="000000" w:themeColor="text1"/>
        </w:rPr>
        <w:t>宜体现</w:t>
      </w:r>
      <w:proofErr w:type="gramEnd"/>
      <w:r>
        <w:rPr>
          <w:rFonts w:hint="eastAsia"/>
          <w:color w:val="000000" w:themeColor="text1"/>
        </w:rPr>
        <w:t>体系化与层次化，对公司战略目标和管理目标支持，各层级指标能对上一层级指标支撑；</w:t>
      </w:r>
    </w:p>
    <w:p w14:paraId="49CC2FC9" w14:textId="77777777" w:rsidR="00BA301C" w:rsidRDefault="00000000">
      <w:pPr>
        <w:pStyle w:val="af5"/>
        <w:numPr>
          <w:ilvl w:val="0"/>
          <w:numId w:val="36"/>
        </w:numPr>
        <w:rPr>
          <w:color w:val="000000" w:themeColor="text1"/>
        </w:rPr>
      </w:pPr>
      <w:r>
        <w:rPr>
          <w:rFonts w:hint="eastAsia"/>
          <w:color w:val="000000" w:themeColor="text1"/>
        </w:rPr>
        <w:t>目标管理与过程控制相结合，指标体系宜包含结果性指标和过程趋势性指标。</w:t>
      </w:r>
    </w:p>
    <w:p w14:paraId="3951FEE6" w14:textId="77777777" w:rsidR="00BA301C" w:rsidRDefault="00000000">
      <w:pPr>
        <w:pStyle w:val="affd"/>
        <w:spacing w:before="120" w:after="120"/>
        <w:rPr>
          <w:color w:val="000000" w:themeColor="text1"/>
        </w:rPr>
      </w:pPr>
      <w:r>
        <w:rPr>
          <w:rFonts w:hint="eastAsia"/>
          <w:color w:val="000000" w:themeColor="text1"/>
        </w:rPr>
        <w:t>设计原则</w:t>
      </w:r>
    </w:p>
    <w:p w14:paraId="19AC7EF8" w14:textId="77777777" w:rsidR="00BA301C" w:rsidRDefault="00000000">
      <w:pPr>
        <w:pStyle w:val="af5"/>
        <w:numPr>
          <w:ilvl w:val="0"/>
          <w:numId w:val="37"/>
        </w:numPr>
        <w:rPr>
          <w:color w:val="000000" w:themeColor="text1"/>
          <w:kern w:val="2"/>
          <w:szCs w:val="21"/>
        </w:rPr>
      </w:pPr>
      <w:r>
        <w:rPr>
          <w:rFonts w:hint="eastAsia"/>
          <w:color w:val="000000" w:themeColor="text1"/>
          <w:kern w:val="2"/>
          <w:szCs w:val="21"/>
        </w:rPr>
        <w:t>指标提供了核安全、核电厂可靠性和人员安全的定量指示；</w:t>
      </w:r>
      <w:r>
        <w:rPr>
          <w:color w:val="000000" w:themeColor="text1"/>
          <w:kern w:val="2"/>
          <w:szCs w:val="21"/>
        </w:rPr>
        <w:t xml:space="preserve"> </w:t>
      </w:r>
    </w:p>
    <w:p w14:paraId="098FB987" w14:textId="77777777" w:rsidR="00BA301C" w:rsidRDefault="00000000">
      <w:pPr>
        <w:pStyle w:val="af5"/>
        <w:rPr>
          <w:color w:val="000000" w:themeColor="text1"/>
          <w:kern w:val="2"/>
          <w:szCs w:val="21"/>
        </w:rPr>
      </w:pPr>
      <w:r>
        <w:rPr>
          <w:rFonts w:hint="eastAsia"/>
          <w:color w:val="000000" w:themeColor="text1"/>
        </w:rPr>
        <w:t>指标在各核电厂具有广泛的适用性；</w:t>
      </w:r>
    </w:p>
    <w:p w14:paraId="69CD23D1" w14:textId="77777777" w:rsidR="00BA301C" w:rsidRDefault="00000000">
      <w:pPr>
        <w:pStyle w:val="af5"/>
        <w:rPr>
          <w:color w:val="000000" w:themeColor="text1"/>
          <w:kern w:val="2"/>
          <w:szCs w:val="21"/>
        </w:rPr>
      </w:pPr>
      <w:r>
        <w:rPr>
          <w:rFonts w:hint="eastAsia"/>
          <w:color w:val="000000" w:themeColor="text1"/>
        </w:rPr>
        <w:t>指标提供了有意义的视角，无需对核电厂业务和实践有详细了解；</w:t>
      </w:r>
    </w:p>
    <w:p w14:paraId="7DE3F678" w14:textId="77777777" w:rsidR="00BA301C" w:rsidRDefault="00000000">
      <w:pPr>
        <w:pStyle w:val="af5"/>
        <w:rPr>
          <w:color w:val="000000" w:themeColor="text1"/>
          <w:kern w:val="2"/>
          <w:szCs w:val="21"/>
        </w:rPr>
      </w:pPr>
      <w:r>
        <w:rPr>
          <w:color w:val="000000" w:themeColor="text1"/>
        </w:rPr>
        <w:t>指标</w:t>
      </w:r>
      <w:r>
        <w:rPr>
          <w:rFonts w:hint="eastAsia"/>
          <w:color w:val="000000" w:themeColor="text1"/>
        </w:rPr>
        <w:t>是</w:t>
      </w:r>
      <w:r>
        <w:rPr>
          <w:color w:val="000000" w:themeColor="text1"/>
        </w:rPr>
        <w:t>客观</w:t>
      </w:r>
      <w:r>
        <w:rPr>
          <w:rFonts w:hint="eastAsia"/>
          <w:color w:val="000000" w:themeColor="text1"/>
        </w:rPr>
        <w:t>的；</w:t>
      </w:r>
    </w:p>
    <w:p w14:paraId="2D7348DD" w14:textId="77777777" w:rsidR="00BA301C" w:rsidRDefault="00000000">
      <w:pPr>
        <w:pStyle w:val="af5"/>
        <w:rPr>
          <w:color w:val="000000" w:themeColor="text1"/>
          <w:kern w:val="2"/>
          <w:szCs w:val="21"/>
        </w:rPr>
      </w:pPr>
      <w:r>
        <w:rPr>
          <w:color w:val="000000" w:themeColor="text1"/>
        </w:rPr>
        <w:t>指标可用于设定目标</w:t>
      </w:r>
      <w:r>
        <w:rPr>
          <w:rFonts w:hint="eastAsia"/>
          <w:color w:val="000000" w:themeColor="text1"/>
        </w:rPr>
        <w:t>；</w:t>
      </w:r>
    </w:p>
    <w:p w14:paraId="3ABF1616" w14:textId="77777777" w:rsidR="00BA301C" w:rsidRDefault="00000000">
      <w:pPr>
        <w:pStyle w:val="af5"/>
        <w:rPr>
          <w:color w:val="000000" w:themeColor="text1"/>
          <w:kern w:val="2"/>
          <w:szCs w:val="21"/>
        </w:rPr>
      </w:pPr>
      <w:r>
        <w:rPr>
          <w:color w:val="000000" w:themeColor="text1"/>
        </w:rPr>
        <w:t>指标</w:t>
      </w:r>
      <w:r>
        <w:rPr>
          <w:rFonts w:hint="eastAsia"/>
          <w:color w:val="000000" w:themeColor="text1"/>
        </w:rPr>
        <w:t>有</w:t>
      </w:r>
      <w:r>
        <w:rPr>
          <w:color w:val="000000" w:themeColor="text1"/>
        </w:rPr>
        <w:t>数据可</w:t>
      </w:r>
      <w:r>
        <w:rPr>
          <w:rFonts w:hint="eastAsia"/>
          <w:color w:val="000000" w:themeColor="text1"/>
        </w:rPr>
        <w:t>用，</w:t>
      </w:r>
      <w:proofErr w:type="gramStart"/>
      <w:r>
        <w:rPr>
          <w:rFonts w:hint="eastAsia"/>
          <w:color w:val="000000" w:themeColor="text1"/>
        </w:rPr>
        <w:t>且数据</w:t>
      </w:r>
      <w:proofErr w:type="gramEnd"/>
      <w:r>
        <w:rPr>
          <w:color w:val="000000" w:themeColor="text1"/>
        </w:rPr>
        <w:t>可靠</w:t>
      </w:r>
      <w:r>
        <w:rPr>
          <w:rFonts w:hint="eastAsia"/>
          <w:color w:val="000000" w:themeColor="text1"/>
        </w:rPr>
        <w:t>；</w:t>
      </w:r>
    </w:p>
    <w:p w14:paraId="4FBF0EA0" w14:textId="77777777" w:rsidR="00BA301C" w:rsidRDefault="00000000">
      <w:pPr>
        <w:pStyle w:val="af5"/>
        <w:rPr>
          <w:color w:val="000000" w:themeColor="text1"/>
          <w:kern w:val="2"/>
          <w:szCs w:val="21"/>
        </w:rPr>
      </w:pPr>
      <w:r>
        <w:rPr>
          <w:rFonts w:hint="eastAsia"/>
          <w:color w:val="000000" w:themeColor="text1"/>
        </w:rPr>
        <w:t>改进指标不会导致电厂的不良行为；</w:t>
      </w:r>
    </w:p>
    <w:p w14:paraId="6FA0F8A6" w14:textId="77777777" w:rsidR="00BA301C" w:rsidRDefault="00000000">
      <w:pPr>
        <w:pStyle w:val="af5"/>
        <w:rPr>
          <w:color w:val="000000" w:themeColor="text1"/>
          <w:kern w:val="2"/>
          <w:szCs w:val="21"/>
        </w:rPr>
      </w:pPr>
      <w:r>
        <w:rPr>
          <w:rFonts w:hint="eastAsia"/>
          <w:color w:val="000000" w:themeColor="text1"/>
        </w:rPr>
        <w:t>主要</w:t>
      </w:r>
      <w:r>
        <w:rPr>
          <w:color w:val="000000" w:themeColor="text1"/>
        </w:rPr>
        <w:t>监测电厂可靠性的指标</w:t>
      </w:r>
      <w:r>
        <w:rPr>
          <w:rFonts w:hint="eastAsia"/>
          <w:color w:val="000000" w:themeColor="text1"/>
        </w:rPr>
        <w:t>应仅反映电厂管理层可以控制或影响的领域的业绩；</w:t>
      </w:r>
    </w:p>
    <w:p w14:paraId="0D6FE10F" w14:textId="77777777" w:rsidR="00BA301C" w:rsidRDefault="00000000">
      <w:pPr>
        <w:pStyle w:val="af5"/>
        <w:rPr>
          <w:color w:val="000000" w:themeColor="text1"/>
          <w:kern w:val="2"/>
          <w:szCs w:val="21"/>
        </w:rPr>
      </w:pPr>
      <w:r>
        <w:rPr>
          <w:color w:val="000000" w:themeColor="text1"/>
        </w:rPr>
        <w:t>核电厂安全或人员安全的指标应反映</w:t>
      </w:r>
      <w:r>
        <w:rPr>
          <w:rFonts w:hint="eastAsia"/>
          <w:color w:val="000000" w:themeColor="text1"/>
        </w:rPr>
        <w:t>核电厂整体</w:t>
      </w:r>
      <w:r>
        <w:rPr>
          <w:color w:val="000000" w:themeColor="text1"/>
        </w:rPr>
        <w:t>业绩，</w:t>
      </w:r>
      <w:r>
        <w:rPr>
          <w:rFonts w:hint="eastAsia"/>
          <w:color w:val="000000" w:themeColor="text1"/>
        </w:rPr>
        <w:t>在某些情况下，包括超过核电厂管理层控制的因素；</w:t>
      </w:r>
    </w:p>
    <w:p w14:paraId="1819AD88" w14:textId="77777777" w:rsidR="00BA301C" w:rsidRDefault="00000000">
      <w:pPr>
        <w:pStyle w:val="af5"/>
        <w:rPr>
          <w:color w:val="000000" w:themeColor="text1"/>
        </w:rPr>
      </w:pPr>
      <w:r>
        <w:rPr>
          <w:rFonts w:hint="eastAsia"/>
          <w:color w:val="000000" w:themeColor="text1"/>
        </w:rPr>
        <w:t>核电厂运行指标体系</w:t>
      </w:r>
      <w:proofErr w:type="gramStart"/>
      <w:r>
        <w:rPr>
          <w:rFonts w:hint="eastAsia"/>
          <w:color w:val="000000" w:themeColor="text1"/>
        </w:rPr>
        <w:t>宜包括</w:t>
      </w:r>
      <w:proofErr w:type="gramEnd"/>
      <w:r>
        <w:rPr>
          <w:rFonts w:hint="eastAsia"/>
          <w:color w:val="000000" w:themeColor="text1"/>
        </w:rPr>
        <w:t>绩效结果性指标和过程趋势性指标；</w:t>
      </w:r>
    </w:p>
    <w:p w14:paraId="2C22ECE9" w14:textId="77777777" w:rsidR="00BA301C" w:rsidRDefault="00000000">
      <w:pPr>
        <w:pStyle w:val="af5"/>
        <w:rPr>
          <w:color w:val="000000" w:themeColor="text1"/>
        </w:rPr>
      </w:pPr>
      <w:r>
        <w:rPr>
          <w:rFonts w:hint="eastAsia"/>
          <w:color w:val="000000" w:themeColor="text1"/>
        </w:rPr>
        <w:t>指标需符合行业主管部门监督考核要求。</w:t>
      </w:r>
    </w:p>
    <w:p w14:paraId="52E76A74" w14:textId="77777777" w:rsidR="00BA301C" w:rsidRDefault="00000000">
      <w:pPr>
        <w:pStyle w:val="affd"/>
        <w:spacing w:before="120" w:after="120"/>
        <w:rPr>
          <w:color w:val="000000" w:themeColor="text1"/>
        </w:rPr>
      </w:pPr>
      <w:r>
        <w:rPr>
          <w:rFonts w:hint="eastAsia"/>
          <w:color w:val="000000" w:themeColor="text1"/>
        </w:rPr>
        <w:t>指标要素</w:t>
      </w:r>
    </w:p>
    <w:p w14:paraId="12EBCCBE" w14:textId="77777777" w:rsidR="00BA301C" w:rsidRDefault="00000000">
      <w:pPr>
        <w:pStyle w:val="afffff5"/>
        <w:ind w:firstLine="420"/>
        <w:rPr>
          <w:color w:val="000000" w:themeColor="text1"/>
          <w:kern w:val="2"/>
          <w:szCs w:val="21"/>
        </w:rPr>
      </w:pPr>
      <w:r>
        <w:rPr>
          <w:rFonts w:hint="eastAsia"/>
          <w:color w:val="000000" w:themeColor="text1"/>
        </w:rPr>
        <w:t>每一个指标宜包含以下要素，附录A给出了一种运行指标示例，供参考。</w:t>
      </w:r>
    </w:p>
    <w:p w14:paraId="7B1A5E60" w14:textId="77777777" w:rsidR="00BA301C" w:rsidRDefault="00000000">
      <w:pPr>
        <w:pStyle w:val="af5"/>
        <w:numPr>
          <w:ilvl w:val="0"/>
          <w:numId w:val="38"/>
        </w:numPr>
        <w:rPr>
          <w:color w:val="000000" w:themeColor="text1"/>
        </w:rPr>
      </w:pPr>
      <w:r>
        <w:rPr>
          <w:rFonts w:hint="eastAsia"/>
          <w:color w:val="000000" w:themeColor="text1"/>
        </w:rPr>
        <w:t>指标定义：指出该指标具体定义，包括度量单位；</w:t>
      </w:r>
    </w:p>
    <w:p w14:paraId="3DA38269" w14:textId="77777777" w:rsidR="00BA301C" w:rsidRDefault="00000000">
      <w:pPr>
        <w:pStyle w:val="af5"/>
        <w:numPr>
          <w:ilvl w:val="0"/>
          <w:numId w:val="38"/>
        </w:numPr>
        <w:rPr>
          <w:color w:val="000000" w:themeColor="text1"/>
        </w:rPr>
      </w:pPr>
      <w:r>
        <w:rPr>
          <w:rFonts w:hint="eastAsia"/>
          <w:color w:val="000000" w:themeColor="text1"/>
        </w:rPr>
        <w:t>最小对象：说明该指标适用的最小对象基准，如机组、电厂、公司；</w:t>
      </w:r>
    </w:p>
    <w:p w14:paraId="44CEC199" w14:textId="77777777" w:rsidR="00BA301C" w:rsidRDefault="00000000">
      <w:pPr>
        <w:pStyle w:val="af5"/>
        <w:numPr>
          <w:ilvl w:val="0"/>
          <w:numId w:val="38"/>
        </w:numPr>
        <w:rPr>
          <w:color w:val="000000" w:themeColor="text1"/>
        </w:rPr>
      </w:pPr>
      <w:r>
        <w:rPr>
          <w:rFonts w:hint="eastAsia"/>
          <w:color w:val="000000" w:themeColor="text1"/>
        </w:rPr>
        <w:t>基础数据：列举指标计算所需要的基础数据、填报周期；</w:t>
      </w:r>
    </w:p>
    <w:p w14:paraId="4AE5E10D" w14:textId="77777777" w:rsidR="00BA301C" w:rsidRDefault="00000000">
      <w:pPr>
        <w:pStyle w:val="af5"/>
        <w:numPr>
          <w:ilvl w:val="0"/>
          <w:numId w:val="38"/>
        </w:numPr>
        <w:rPr>
          <w:color w:val="000000" w:themeColor="text1"/>
        </w:rPr>
      </w:pPr>
      <w:r>
        <w:rPr>
          <w:rFonts w:hint="eastAsia"/>
          <w:color w:val="000000" w:themeColor="text1"/>
        </w:rPr>
        <w:t>计算方法：对于计算过程较复杂的指标，需描述该指标与基础数据的函数关系；</w:t>
      </w:r>
    </w:p>
    <w:p w14:paraId="6FF77AB9" w14:textId="77777777" w:rsidR="00BA301C" w:rsidRDefault="00000000">
      <w:pPr>
        <w:pStyle w:val="af5"/>
        <w:numPr>
          <w:ilvl w:val="0"/>
          <w:numId w:val="38"/>
        </w:numPr>
        <w:rPr>
          <w:color w:val="000000" w:themeColor="text1"/>
        </w:rPr>
      </w:pPr>
      <w:r>
        <w:rPr>
          <w:rFonts w:hint="eastAsia"/>
          <w:color w:val="000000" w:themeColor="text1"/>
        </w:rPr>
        <w:t>指标阈值：定义各机组、电厂及公司的指标红黄绿状态的目标阈值。目标阈值可以是指标月度值、年度累积值、滚动累积值、年末预测值以及它们的组合。</w:t>
      </w:r>
    </w:p>
    <w:p w14:paraId="042C0498" w14:textId="77777777" w:rsidR="00BA301C" w:rsidRDefault="00000000">
      <w:pPr>
        <w:pStyle w:val="affd"/>
        <w:spacing w:before="120" w:after="120"/>
        <w:rPr>
          <w:color w:val="000000" w:themeColor="text1"/>
        </w:rPr>
      </w:pPr>
      <w:r>
        <w:rPr>
          <w:rFonts w:hint="eastAsia"/>
          <w:color w:val="000000" w:themeColor="text1"/>
        </w:rPr>
        <w:t>状态判断准则</w:t>
      </w:r>
    </w:p>
    <w:p w14:paraId="27B8F896" w14:textId="77777777" w:rsidR="00BA301C" w:rsidRDefault="00000000">
      <w:pPr>
        <w:pStyle w:val="af5"/>
        <w:numPr>
          <w:ilvl w:val="0"/>
          <w:numId w:val="39"/>
        </w:numPr>
        <w:rPr>
          <w:color w:val="000000" w:themeColor="text1"/>
        </w:rPr>
      </w:pPr>
      <w:r>
        <w:rPr>
          <w:rFonts w:hint="eastAsia"/>
          <w:color w:val="000000" w:themeColor="text1"/>
        </w:rPr>
        <w:t>宜使用颜色阈值来表示指标状态，以快速查看业绩水平。颜色阈值是根据已知的行业数据和卓越标准确定的，典型的颜色阈值包括绿、黄、红，从绿色过渡到红色标表示风险增加，或者对机组/电站的安全和可靠性产生实际的负面影响；</w:t>
      </w:r>
      <w:r>
        <w:rPr>
          <w:color w:val="000000" w:themeColor="text1"/>
        </w:rPr>
        <w:t xml:space="preserve"> </w:t>
      </w:r>
    </w:p>
    <w:p w14:paraId="7E256343" w14:textId="77777777" w:rsidR="00BA301C" w:rsidRDefault="00000000">
      <w:pPr>
        <w:pStyle w:val="af5"/>
        <w:rPr>
          <w:color w:val="000000" w:themeColor="text1"/>
        </w:rPr>
      </w:pPr>
      <w:r>
        <w:rPr>
          <w:rFonts w:hint="eastAsia"/>
          <w:color w:val="000000" w:themeColor="text1"/>
        </w:rPr>
        <w:t>绿区代表业绩指标达到或高于指标目标，除了确保维持业绩外，不需要才去任何措施；</w:t>
      </w:r>
      <w:r>
        <w:rPr>
          <w:color w:val="000000" w:themeColor="text1"/>
        </w:rPr>
        <w:t xml:space="preserve"> </w:t>
      </w:r>
    </w:p>
    <w:p w14:paraId="7B5DFA32" w14:textId="77777777" w:rsidR="00BA301C" w:rsidRDefault="00000000">
      <w:pPr>
        <w:pStyle w:val="af5"/>
        <w:rPr>
          <w:color w:val="000000" w:themeColor="text1"/>
        </w:rPr>
      </w:pPr>
      <w:r>
        <w:rPr>
          <w:rFonts w:hint="eastAsia"/>
          <w:color w:val="000000" w:themeColor="text1"/>
        </w:rPr>
        <w:t>黄区代表业绩指标刚好低于指标目标，如果业绩进一步下滑，可能会对安全可靠的机组/电站业绩产生负面影响，或者已经产生了影响，应当采取措施来提高业绩；</w:t>
      </w:r>
    </w:p>
    <w:p w14:paraId="5F544FEA" w14:textId="77777777" w:rsidR="00BA301C" w:rsidRDefault="00000000">
      <w:pPr>
        <w:pStyle w:val="af5"/>
        <w:rPr>
          <w:color w:val="000000" w:themeColor="text1"/>
        </w:rPr>
      </w:pPr>
      <w:r>
        <w:rPr>
          <w:rFonts w:hint="eastAsia"/>
          <w:color w:val="000000" w:themeColor="text1"/>
        </w:rPr>
        <w:t>红区代表业绩指标严重低于指标目标，机组/电站的安全可靠运行已受到负面影响，或者受到影响的风险高，应到</w:t>
      </w:r>
      <w:proofErr w:type="gramStart"/>
      <w:r>
        <w:rPr>
          <w:rFonts w:hint="eastAsia"/>
          <w:color w:val="000000" w:themeColor="text1"/>
        </w:rPr>
        <w:t>当立即</w:t>
      </w:r>
      <w:proofErr w:type="gramEnd"/>
      <w:r>
        <w:rPr>
          <w:rFonts w:hint="eastAsia"/>
          <w:color w:val="000000" w:themeColor="text1"/>
        </w:rPr>
        <w:t>采取措施，以确定原因和驱动因素得到理解和解决。电站应当采取重大的恢复措施，以进行额外的监督。</w:t>
      </w:r>
    </w:p>
    <w:p w14:paraId="408AB8AC" w14:textId="77777777" w:rsidR="00BA301C" w:rsidRDefault="00000000">
      <w:pPr>
        <w:pStyle w:val="affd"/>
        <w:spacing w:before="120" w:after="120"/>
        <w:rPr>
          <w:color w:val="000000" w:themeColor="text1"/>
        </w:rPr>
      </w:pPr>
      <w:r>
        <w:rPr>
          <w:rFonts w:hint="eastAsia"/>
          <w:color w:val="000000" w:themeColor="text1"/>
        </w:rPr>
        <w:t>统计</w:t>
      </w:r>
    </w:p>
    <w:p w14:paraId="24DB7135" w14:textId="77777777" w:rsidR="00BA301C" w:rsidRDefault="00000000">
      <w:pPr>
        <w:pStyle w:val="af5"/>
        <w:numPr>
          <w:ilvl w:val="0"/>
          <w:numId w:val="40"/>
        </w:numPr>
        <w:rPr>
          <w:color w:val="000000" w:themeColor="text1"/>
        </w:rPr>
      </w:pPr>
      <w:r>
        <w:rPr>
          <w:rFonts w:hint="eastAsia"/>
          <w:color w:val="000000" w:themeColor="text1"/>
        </w:rPr>
        <w:t>运行指标宜按生产单元分机组统计，大修机组当月可不进行统计；</w:t>
      </w:r>
    </w:p>
    <w:p w14:paraId="1192C61D" w14:textId="77777777" w:rsidR="00BA301C" w:rsidRDefault="00000000">
      <w:pPr>
        <w:pStyle w:val="af5"/>
        <w:numPr>
          <w:ilvl w:val="0"/>
          <w:numId w:val="40"/>
        </w:numPr>
        <w:rPr>
          <w:color w:val="000000" w:themeColor="text1"/>
          <w:kern w:val="2"/>
          <w:szCs w:val="21"/>
        </w:rPr>
      </w:pPr>
      <w:r>
        <w:rPr>
          <w:rFonts w:hAnsi="宋体" w:hint="eastAsia"/>
          <w:color w:val="000000" w:themeColor="text1"/>
        </w:rPr>
        <w:t>指标基础数据源所涉及的各部门应指定专人填报数据。</w:t>
      </w:r>
    </w:p>
    <w:p w14:paraId="46C7016E" w14:textId="77777777" w:rsidR="00BA301C" w:rsidRDefault="00000000">
      <w:pPr>
        <w:pStyle w:val="affd"/>
        <w:spacing w:before="120" w:after="120"/>
        <w:rPr>
          <w:color w:val="000000" w:themeColor="text1"/>
        </w:rPr>
      </w:pPr>
      <w:r>
        <w:rPr>
          <w:rFonts w:hint="eastAsia"/>
          <w:color w:val="000000" w:themeColor="text1"/>
        </w:rPr>
        <w:t>应用</w:t>
      </w:r>
    </w:p>
    <w:p w14:paraId="5B8EA9F5" w14:textId="77777777" w:rsidR="00BA301C" w:rsidRDefault="00000000">
      <w:pPr>
        <w:pStyle w:val="af5"/>
        <w:numPr>
          <w:ilvl w:val="0"/>
          <w:numId w:val="41"/>
        </w:numPr>
        <w:rPr>
          <w:color w:val="000000" w:themeColor="text1"/>
        </w:rPr>
      </w:pPr>
      <w:r>
        <w:rPr>
          <w:rFonts w:hint="eastAsia"/>
          <w:color w:val="000000" w:themeColor="text1"/>
        </w:rPr>
        <w:t>指标异常时，由分析部门分析原因，明确整改责任部门；</w:t>
      </w:r>
    </w:p>
    <w:p w14:paraId="0B1B0369" w14:textId="77777777" w:rsidR="00BA301C" w:rsidRDefault="00000000">
      <w:pPr>
        <w:pStyle w:val="af5"/>
        <w:numPr>
          <w:ilvl w:val="0"/>
          <w:numId w:val="41"/>
        </w:numPr>
        <w:rPr>
          <w:color w:val="000000" w:themeColor="text1"/>
        </w:rPr>
      </w:pPr>
      <w:r>
        <w:rPr>
          <w:rFonts w:hint="eastAsia"/>
          <w:color w:val="000000" w:themeColor="text1"/>
        </w:rPr>
        <w:t>当某事件导致多项指标突破目标值时，扣分原则就高不就低且不重复扣分；</w:t>
      </w:r>
    </w:p>
    <w:p w14:paraId="265E79BC" w14:textId="77777777" w:rsidR="00BA301C" w:rsidRDefault="00000000">
      <w:pPr>
        <w:pStyle w:val="af5"/>
        <w:numPr>
          <w:ilvl w:val="0"/>
          <w:numId w:val="41"/>
        </w:numPr>
        <w:rPr>
          <w:color w:val="000000" w:themeColor="text1"/>
        </w:rPr>
      </w:pPr>
      <w:r>
        <w:rPr>
          <w:rFonts w:hint="eastAsia"/>
          <w:color w:val="000000" w:themeColor="text1"/>
        </w:rPr>
        <w:t>运行指标数据应能反映机组运行业绩情况；</w:t>
      </w:r>
    </w:p>
    <w:p w14:paraId="1170E9AE" w14:textId="77777777" w:rsidR="00BA301C" w:rsidRDefault="00000000">
      <w:pPr>
        <w:pStyle w:val="af5"/>
        <w:numPr>
          <w:ilvl w:val="0"/>
          <w:numId w:val="41"/>
        </w:numPr>
        <w:spacing w:line="360" w:lineRule="auto"/>
        <w:rPr>
          <w:color w:val="000000" w:themeColor="text1"/>
        </w:rPr>
      </w:pPr>
      <w:r>
        <w:rPr>
          <w:rFonts w:hint="eastAsia"/>
          <w:color w:val="000000" w:themeColor="text1"/>
        </w:rPr>
        <w:t>每月可根据运行指标加扣分原则进行部门考核。</w:t>
      </w:r>
    </w:p>
    <w:p w14:paraId="33C17D85" w14:textId="77777777" w:rsidR="00BA301C" w:rsidRDefault="00BA301C">
      <w:pPr>
        <w:pStyle w:val="af5"/>
        <w:numPr>
          <w:ilvl w:val="0"/>
          <w:numId w:val="42"/>
        </w:numPr>
        <w:spacing w:line="360" w:lineRule="auto"/>
        <w:rPr>
          <w:color w:val="000000" w:themeColor="text1"/>
        </w:rPr>
        <w:sectPr w:rsidR="00BA301C">
          <w:pgSz w:w="11906" w:h="16838"/>
          <w:pgMar w:top="1928" w:right="1134" w:bottom="1134" w:left="1134" w:header="1418" w:footer="1134" w:gutter="284"/>
          <w:pgNumType w:start="1"/>
          <w:cols w:space="425"/>
          <w:formProt w:val="0"/>
          <w:docGrid w:linePitch="312"/>
        </w:sectPr>
      </w:pPr>
    </w:p>
    <w:p w14:paraId="20F931D5" w14:textId="77777777" w:rsidR="00BA301C" w:rsidRDefault="00BA301C">
      <w:pPr>
        <w:pStyle w:val="af8"/>
        <w:spacing w:line="360" w:lineRule="auto"/>
        <w:rPr>
          <w:rFonts w:hint="eastAsia"/>
          <w:vanish w:val="0"/>
          <w:color w:val="000000" w:themeColor="text1"/>
        </w:rPr>
      </w:pPr>
    </w:p>
    <w:p w14:paraId="12F97C0B" w14:textId="77777777" w:rsidR="00BA301C" w:rsidRDefault="00BA301C">
      <w:pPr>
        <w:pStyle w:val="afe"/>
        <w:spacing w:line="360" w:lineRule="auto"/>
        <w:rPr>
          <w:vanish w:val="0"/>
          <w:color w:val="000000" w:themeColor="text1"/>
        </w:rPr>
      </w:pPr>
    </w:p>
    <w:p w14:paraId="0818664D" w14:textId="77777777" w:rsidR="00BA301C" w:rsidRDefault="00BA301C">
      <w:pPr>
        <w:pStyle w:val="af8"/>
        <w:spacing w:line="360" w:lineRule="auto"/>
        <w:rPr>
          <w:rFonts w:hint="eastAsia"/>
          <w:vanish w:val="0"/>
          <w:color w:val="000000" w:themeColor="text1"/>
        </w:rPr>
      </w:pPr>
      <w:bookmarkStart w:id="78" w:name="BookMark5"/>
      <w:bookmarkEnd w:id="30"/>
    </w:p>
    <w:p w14:paraId="2B194335" w14:textId="77777777" w:rsidR="00BA301C" w:rsidRDefault="00BA301C">
      <w:pPr>
        <w:pStyle w:val="afe"/>
        <w:spacing w:line="360" w:lineRule="auto"/>
        <w:rPr>
          <w:vanish w:val="0"/>
          <w:color w:val="000000" w:themeColor="text1"/>
        </w:rPr>
      </w:pPr>
    </w:p>
    <w:p w14:paraId="03341AAE" w14:textId="77777777" w:rsidR="00BA301C" w:rsidRDefault="00000000">
      <w:pPr>
        <w:pStyle w:val="aff3"/>
        <w:spacing w:after="120" w:line="360" w:lineRule="auto"/>
        <w:rPr>
          <w:color w:val="000000" w:themeColor="text1"/>
        </w:rPr>
      </w:pPr>
      <w:r>
        <w:rPr>
          <w:color w:val="000000" w:themeColor="text1"/>
        </w:rPr>
        <w:br/>
      </w:r>
      <w:bookmarkStart w:id="79" w:name="_Toc167389489"/>
      <w:r>
        <w:rPr>
          <w:rFonts w:hint="eastAsia"/>
          <w:color w:val="000000" w:themeColor="text1"/>
        </w:rPr>
        <w:t>（资料性）</w:t>
      </w:r>
      <w:r>
        <w:rPr>
          <w:color w:val="000000" w:themeColor="text1"/>
        </w:rPr>
        <w:br/>
      </w:r>
      <w:r>
        <w:rPr>
          <w:rFonts w:hint="eastAsia"/>
          <w:color w:val="000000" w:themeColor="text1"/>
        </w:rPr>
        <w:t>运行指标</w:t>
      </w:r>
      <w:bookmarkEnd w:id="79"/>
    </w:p>
    <w:p w14:paraId="00F03133" w14:textId="77777777" w:rsidR="00BA301C" w:rsidRDefault="00000000">
      <w:pPr>
        <w:pStyle w:val="aff4"/>
        <w:spacing w:before="120" w:after="120" w:line="360" w:lineRule="auto"/>
        <w:rPr>
          <w:color w:val="000000" w:themeColor="text1"/>
        </w:rPr>
      </w:pPr>
      <w:bookmarkStart w:id="80" w:name="_Toc144658622"/>
      <w:r>
        <w:rPr>
          <w:rFonts w:hint="eastAsia"/>
          <w:color w:val="000000" w:themeColor="text1"/>
        </w:rPr>
        <w:t>W</w:t>
      </w:r>
      <w:r>
        <w:rPr>
          <w:color w:val="000000" w:themeColor="text1"/>
        </w:rPr>
        <w:t>ANO</w:t>
      </w:r>
      <w:r>
        <w:rPr>
          <w:rFonts w:hint="eastAsia"/>
          <w:color w:val="000000" w:themeColor="text1"/>
        </w:rPr>
        <w:t>业绩指标综合指数</w:t>
      </w:r>
      <w:bookmarkEnd w:id="80"/>
    </w:p>
    <w:p w14:paraId="199C168C" w14:textId="77777777" w:rsidR="00BA301C" w:rsidRDefault="00000000">
      <w:pPr>
        <w:pStyle w:val="afffff5"/>
        <w:spacing w:line="360" w:lineRule="auto"/>
        <w:ind w:firstLine="420"/>
        <w:rPr>
          <w:color w:val="000000" w:themeColor="text1"/>
        </w:rPr>
      </w:pPr>
      <w:r>
        <w:rPr>
          <w:rFonts w:hint="eastAsia"/>
          <w:color w:val="000000" w:themeColor="text1"/>
        </w:rPr>
        <w:t>定义：WANO业绩指标综合指数通常被称为“综合指数”。一台机组的综合指数是将该机组现有业绩指标中的10项指标（WANO对不同指标的统计周期有相应要求）经加权处理后整合成的一个最大值为100的单一指数（数值越大表明机组整体性能越好）。</w:t>
      </w:r>
    </w:p>
    <w:p w14:paraId="1419B8FF"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w:t>
      </w:r>
      <w:r>
        <w:rPr>
          <w:color w:val="000000" w:themeColor="text1"/>
        </w:rPr>
        <w:t>ANO</w:t>
      </w:r>
      <w:r>
        <w:rPr>
          <w:rFonts w:hint="eastAsia"/>
          <w:color w:val="000000" w:themeColor="text1"/>
        </w:rPr>
        <w:t>综合指数。</w:t>
      </w:r>
    </w:p>
    <w:p w14:paraId="39DAC192" w14:textId="77777777" w:rsidR="00BA301C" w:rsidRDefault="00000000">
      <w:pPr>
        <w:pStyle w:val="afffff5"/>
        <w:spacing w:line="360" w:lineRule="auto"/>
        <w:ind w:firstLine="420"/>
        <w:rPr>
          <w:color w:val="000000" w:themeColor="text1"/>
        </w:rPr>
      </w:pPr>
      <w:r>
        <w:rPr>
          <w:rFonts w:hint="eastAsia"/>
          <w:color w:val="000000" w:themeColor="text1"/>
        </w:rPr>
        <w:t>计算方法：根据WANO指标手册“方法4”对10项WANO性能指标进行量化计算。</w:t>
      </w:r>
    </w:p>
    <w:p w14:paraId="1840CD26"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指标状态判定准则：适用于</w:t>
      </w:r>
      <w:proofErr w:type="gramStart"/>
      <w:r>
        <w:rPr>
          <w:rFonts w:hint="eastAsia"/>
          <w:color w:val="000000" w:themeColor="text1"/>
        </w:rPr>
        <w:t>月度值</w:t>
      </w:r>
      <w:proofErr w:type="gramEnd"/>
      <w:r>
        <w:rPr>
          <w:rFonts w:hint="eastAsia"/>
          <w:color w:val="000000" w:themeColor="text1"/>
        </w:rPr>
        <w:t>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4A4A5D4D" w14:textId="77777777">
        <w:trPr>
          <w:tblHeader/>
          <w:jc w:val="center"/>
        </w:trPr>
        <w:tc>
          <w:tcPr>
            <w:tcW w:w="2334" w:type="dxa"/>
            <w:tcBorders>
              <w:top w:val="single" w:sz="8" w:space="0" w:color="auto"/>
              <w:bottom w:val="single" w:sz="8" w:space="0" w:color="auto"/>
            </w:tcBorders>
          </w:tcPr>
          <w:p w14:paraId="090ADEF5" w14:textId="77777777" w:rsidR="00BA301C" w:rsidRDefault="00BA301C">
            <w:pPr>
              <w:pStyle w:val="afffffffff9"/>
              <w:spacing w:line="360" w:lineRule="auto"/>
              <w:rPr>
                <w:color w:val="000000" w:themeColor="text1"/>
              </w:rPr>
            </w:pPr>
          </w:p>
        </w:tc>
        <w:tc>
          <w:tcPr>
            <w:tcW w:w="2333" w:type="dxa"/>
            <w:tcBorders>
              <w:top w:val="single" w:sz="8" w:space="0" w:color="auto"/>
              <w:bottom w:val="single" w:sz="8" w:space="0" w:color="auto"/>
            </w:tcBorders>
          </w:tcPr>
          <w:p w14:paraId="011820AB" w14:textId="77777777" w:rsidR="00BA301C" w:rsidRDefault="00000000">
            <w:pPr>
              <w:pStyle w:val="afffffffff9"/>
              <w:spacing w:line="360" w:lineRule="auto"/>
              <w:rPr>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15A9F46D" w14:textId="77777777" w:rsidR="00BA301C" w:rsidRDefault="00000000">
            <w:pPr>
              <w:pStyle w:val="afffffffff9"/>
              <w:spacing w:line="360" w:lineRule="auto"/>
              <w:rPr>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3412A4D5" w14:textId="77777777" w:rsidR="00BA301C" w:rsidRDefault="00000000">
            <w:pPr>
              <w:pStyle w:val="afffffffff9"/>
              <w:spacing w:line="360" w:lineRule="auto"/>
              <w:rPr>
                <w:color w:val="000000" w:themeColor="text1"/>
              </w:rPr>
            </w:pPr>
            <w:r>
              <w:rPr>
                <w:rFonts w:hAnsi="宋体" w:hint="eastAsia"/>
                <w:color w:val="000000" w:themeColor="text1"/>
              </w:rPr>
              <w:t>红灯</w:t>
            </w:r>
          </w:p>
        </w:tc>
      </w:tr>
      <w:tr w:rsidR="00BA301C" w14:paraId="45311480" w14:textId="77777777">
        <w:trPr>
          <w:jc w:val="center"/>
        </w:trPr>
        <w:tc>
          <w:tcPr>
            <w:tcW w:w="2334" w:type="dxa"/>
            <w:tcBorders>
              <w:top w:val="single" w:sz="8" w:space="0" w:color="auto"/>
            </w:tcBorders>
          </w:tcPr>
          <w:p w14:paraId="21EA33F8" w14:textId="77777777" w:rsidR="00BA301C" w:rsidRDefault="00000000">
            <w:pPr>
              <w:pStyle w:val="afffffffff9"/>
              <w:spacing w:line="360" w:lineRule="auto"/>
              <w:rPr>
                <w:color w:val="000000" w:themeColor="text1"/>
              </w:rPr>
            </w:pPr>
            <w:r>
              <w:rPr>
                <w:rFonts w:hAnsi="宋体" w:hint="eastAsia"/>
                <w:color w:val="000000" w:themeColor="text1"/>
              </w:rPr>
              <w:t>运行机组</w:t>
            </w:r>
          </w:p>
        </w:tc>
        <w:tc>
          <w:tcPr>
            <w:tcW w:w="2333" w:type="dxa"/>
            <w:tcBorders>
              <w:top w:val="single" w:sz="8" w:space="0" w:color="auto"/>
            </w:tcBorders>
          </w:tcPr>
          <w:p w14:paraId="30D87CEC" w14:textId="77777777" w:rsidR="00BA301C" w:rsidRDefault="00000000">
            <w:pPr>
              <w:pStyle w:val="afffffffff9"/>
              <w:spacing w:line="360" w:lineRule="auto"/>
              <w:rPr>
                <w:color w:val="000000" w:themeColor="text1"/>
              </w:rPr>
            </w:pPr>
            <w:r>
              <w:rPr>
                <w:rFonts w:hAnsi="宋体" w:hint="eastAsia"/>
                <w:color w:val="000000" w:themeColor="text1"/>
              </w:rPr>
              <w:t>≥95</w:t>
            </w:r>
          </w:p>
        </w:tc>
        <w:tc>
          <w:tcPr>
            <w:tcW w:w="2333" w:type="dxa"/>
            <w:tcBorders>
              <w:top w:val="single" w:sz="8" w:space="0" w:color="auto"/>
            </w:tcBorders>
          </w:tcPr>
          <w:p w14:paraId="7C3D3CAD" w14:textId="77777777" w:rsidR="00BA301C" w:rsidRDefault="00000000">
            <w:pPr>
              <w:pStyle w:val="afffffffff9"/>
              <w:spacing w:line="360" w:lineRule="auto"/>
              <w:rPr>
                <w:color w:val="000000" w:themeColor="text1"/>
              </w:rPr>
            </w:pPr>
            <w:r>
              <w:rPr>
                <w:rFonts w:hAnsi="宋体" w:hint="eastAsia"/>
                <w:color w:val="000000" w:themeColor="text1"/>
              </w:rPr>
              <w:t>95＜指标值≤85</w:t>
            </w:r>
          </w:p>
        </w:tc>
        <w:tc>
          <w:tcPr>
            <w:tcW w:w="2334" w:type="dxa"/>
            <w:tcBorders>
              <w:top w:val="single" w:sz="8" w:space="0" w:color="auto"/>
            </w:tcBorders>
          </w:tcPr>
          <w:p w14:paraId="544DBBF9" w14:textId="77777777" w:rsidR="00BA301C" w:rsidRDefault="00000000">
            <w:pPr>
              <w:pStyle w:val="afffffffff9"/>
              <w:spacing w:line="360" w:lineRule="auto"/>
              <w:rPr>
                <w:color w:val="000000" w:themeColor="text1"/>
              </w:rPr>
            </w:pPr>
            <w:r>
              <w:rPr>
                <w:rFonts w:hAnsi="宋体" w:hint="eastAsia"/>
                <w:color w:val="000000" w:themeColor="text1"/>
              </w:rPr>
              <w:t>＜85</w:t>
            </w:r>
          </w:p>
        </w:tc>
      </w:tr>
      <w:tr w:rsidR="00BA301C" w14:paraId="5E7B765A" w14:textId="77777777">
        <w:trPr>
          <w:jc w:val="center"/>
        </w:trPr>
        <w:tc>
          <w:tcPr>
            <w:tcW w:w="2334" w:type="dxa"/>
          </w:tcPr>
          <w:p w14:paraId="06EC5290" w14:textId="77777777" w:rsidR="00BA301C" w:rsidRDefault="00000000">
            <w:pPr>
              <w:pStyle w:val="afffffffff9"/>
              <w:spacing w:line="360" w:lineRule="auto"/>
              <w:rPr>
                <w:color w:val="000000" w:themeColor="text1"/>
              </w:rPr>
            </w:pPr>
            <w:r>
              <w:rPr>
                <w:rFonts w:hAnsi="宋体" w:hint="eastAsia"/>
                <w:color w:val="000000" w:themeColor="text1"/>
              </w:rPr>
              <w:t>新机组</w:t>
            </w:r>
          </w:p>
        </w:tc>
        <w:tc>
          <w:tcPr>
            <w:tcW w:w="2333" w:type="dxa"/>
          </w:tcPr>
          <w:p w14:paraId="33280C8B" w14:textId="77777777" w:rsidR="00BA301C" w:rsidRDefault="00000000">
            <w:pPr>
              <w:pStyle w:val="afffffffff9"/>
              <w:spacing w:line="360" w:lineRule="auto"/>
              <w:rPr>
                <w:color w:val="000000" w:themeColor="text1"/>
              </w:rPr>
            </w:pPr>
            <w:r>
              <w:rPr>
                <w:rFonts w:hAnsi="宋体" w:hint="eastAsia"/>
                <w:color w:val="000000" w:themeColor="text1"/>
              </w:rPr>
              <w:t>≥90</w:t>
            </w:r>
          </w:p>
        </w:tc>
        <w:tc>
          <w:tcPr>
            <w:tcW w:w="2333" w:type="dxa"/>
          </w:tcPr>
          <w:p w14:paraId="22760D1C" w14:textId="77777777" w:rsidR="00BA301C" w:rsidRDefault="00000000">
            <w:pPr>
              <w:pStyle w:val="afffffffff9"/>
              <w:spacing w:line="360" w:lineRule="auto"/>
              <w:rPr>
                <w:color w:val="000000" w:themeColor="text1"/>
              </w:rPr>
            </w:pPr>
            <w:r>
              <w:rPr>
                <w:rFonts w:hAnsi="宋体" w:hint="eastAsia"/>
                <w:color w:val="000000" w:themeColor="text1"/>
              </w:rPr>
              <w:t>90＜指标值≤80</w:t>
            </w:r>
          </w:p>
        </w:tc>
        <w:tc>
          <w:tcPr>
            <w:tcW w:w="2334" w:type="dxa"/>
          </w:tcPr>
          <w:p w14:paraId="25E1B222" w14:textId="77777777" w:rsidR="00BA301C" w:rsidRDefault="00000000">
            <w:pPr>
              <w:pStyle w:val="afffffffff9"/>
              <w:spacing w:line="360" w:lineRule="auto"/>
              <w:rPr>
                <w:color w:val="000000" w:themeColor="text1"/>
              </w:rPr>
            </w:pPr>
            <w:r>
              <w:rPr>
                <w:rFonts w:hAnsi="宋体" w:hint="eastAsia"/>
                <w:color w:val="000000" w:themeColor="text1"/>
              </w:rPr>
              <w:t>＜80</w:t>
            </w:r>
          </w:p>
        </w:tc>
      </w:tr>
    </w:tbl>
    <w:p w14:paraId="417836C8" w14:textId="77777777" w:rsidR="00BA301C" w:rsidRDefault="00000000">
      <w:pPr>
        <w:pStyle w:val="afffff5"/>
        <w:spacing w:line="360" w:lineRule="auto"/>
        <w:ind w:firstLine="420"/>
        <w:rPr>
          <w:color w:val="000000" w:themeColor="text1"/>
        </w:rPr>
      </w:pPr>
      <w:r>
        <w:rPr>
          <w:rFonts w:hint="eastAsia"/>
          <w:color w:val="000000" w:themeColor="text1"/>
        </w:rPr>
        <w:t>其他说明：商运两年内（含2年）的机组，定义为新机组。</w:t>
      </w:r>
    </w:p>
    <w:p w14:paraId="3BDA7990" w14:textId="77777777" w:rsidR="00BA301C" w:rsidRDefault="00000000">
      <w:pPr>
        <w:pStyle w:val="aff4"/>
        <w:spacing w:before="120" w:after="120" w:line="360" w:lineRule="auto"/>
        <w:rPr>
          <w:color w:val="000000" w:themeColor="text1"/>
        </w:rPr>
      </w:pPr>
      <w:r>
        <w:rPr>
          <w:rFonts w:hint="eastAsia"/>
          <w:color w:val="000000" w:themeColor="text1"/>
        </w:rPr>
        <w:t>发电计划完成率</w:t>
      </w:r>
    </w:p>
    <w:p w14:paraId="47765A29" w14:textId="77777777" w:rsidR="00BA301C" w:rsidRDefault="00000000">
      <w:pPr>
        <w:pStyle w:val="afffff5"/>
        <w:spacing w:line="360" w:lineRule="auto"/>
        <w:ind w:firstLine="420"/>
        <w:rPr>
          <w:color w:val="000000" w:themeColor="text1"/>
        </w:rPr>
      </w:pPr>
      <w:r>
        <w:rPr>
          <w:rFonts w:hint="eastAsia"/>
          <w:color w:val="000000" w:themeColor="text1"/>
        </w:rPr>
        <w:t>定义：给定时期内实际发电量与同期计划发电量的比值，以百分比表示。</w:t>
      </w:r>
    </w:p>
    <w:p w14:paraId="226DB05C"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数据项：每月以机组为单位统计本月发电计划完成率、年末预测发电计划完成率。</w:t>
      </w:r>
    </w:p>
    <w:p w14:paraId="65138E9D"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color w:val="000000" w:themeColor="text1"/>
        </w:rPr>
        <w:br/>
      </w:r>
      <m:oMathPara>
        <m:oMathParaPr>
          <m:jc m:val="center"/>
        </m:oMathParaPr>
        <m:oMath>
          <m:r>
            <m:rPr>
              <m:sty m:val="p"/>
            </m:rPr>
            <w:rPr>
              <w:rFonts w:ascii="Cambria Math" w:hAnsi="Cambria Math"/>
              <w:color w:val="000000" w:themeColor="text1"/>
            </w:rPr>
            <m:t>发电计划完成率</m:t>
          </m:r>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实际发电量</m:t>
              </m:r>
            </m:num>
            <m:den>
              <m:r>
                <m:rPr>
                  <m:sty m:val="p"/>
                </m:rPr>
                <w:rPr>
                  <w:rFonts w:ascii="Cambria Math" w:hAnsi="Cambria Math"/>
                  <w:color w:val="000000" w:themeColor="text1"/>
                </w:rPr>
                <m:t>计划发电量</m:t>
              </m:r>
            </m:den>
          </m:f>
          <m:r>
            <m:rPr>
              <m:sty m:val="p"/>
            </m:rPr>
            <w:rPr>
              <w:rFonts w:ascii="Cambria Math" w:hAnsi="Cambria Math"/>
              <w:color w:val="000000" w:themeColor="text1"/>
            </w:rPr>
            <m:t>×100%</m:t>
          </m:r>
        </m:oMath>
      </m:oMathPara>
    </w:p>
    <w:p w14:paraId="3A530B08" w14:textId="77777777" w:rsidR="00BA301C" w:rsidRDefault="00000000">
      <w:pPr>
        <w:pStyle w:val="afffff5"/>
        <w:spacing w:line="360" w:lineRule="auto"/>
        <w:ind w:firstLine="420"/>
        <w:rPr>
          <w:color w:val="000000" w:themeColor="text1"/>
        </w:rPr>
      </w:pPr>
      <m:oMathPara>
        <m:oMathParaPr>
          <m:jc m:val="center"/>
        </m:oMathParaPr>
        <m:oMath>
          <m:r>
            <m:rPr>
              <m:sty m:val="p"/>
            </m:rPr>
            <w:rPr>
              <w:rFonts w:ascii="Cambria Math" w:hAnsi="Cambria Math" w:hint="eastAsia"/>
              <w:color w:val="000000" w:themeColor="text1"/>
            </w:rPr>
            <m:t>年末预测</m:t>
          </m:r>
          <m:r>
            <m:rPr>
              <m:sty m:val="p"/>
            </m:rPr>
            <w:rPr>
              <w:rFonts w:ascii="Cambria Math" w:hAnsi="Cambria Math"/>
              <w:color w:val="000000" w:themeColor="text1"/>
            </w:rPr>
            <m:t>发电计划完成率</m:t>
          </m:r>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年度累计发电量</m:t>
              </m:r>
              <m:r>
                <m:rPr>
                  <m:sty m:val="p"/>
                </m:rPr>
                <w:rPr>
                  <w:rFonts w:ascii="Cambria Math" w:hAnsi="Cambria Math" w:hint="eastAsia"/>
                  <w:color w:val="000000" w:themeColor="text1"/>
                </w:rPr>
                <m:t>+</m:t>
              </m:r>
              <m:r>
                <m:rPr>
                  <m:sty m:val="p"/>
                </m:rPr>
                <w:rPr>
                  <w:rFonts w:ascii="Cambria Math" w:hAnsi="Cambria Math" w:hint="eastAsia"/>
                  <w:color w:val="000000" w:themeColor="text1"/>
                </w:rPr>
                <m:t>年度剩余月份计划发电量</m:t>
              </m:r>
            </m:num>
            <m:den>
              <m:r>
                <m:rPr>
                  <m:sty m:val="p"/>
                </m:rPr>
                <w:rPr>
                  <w:rFonts w:ascii="Cambria Math" w:hAnsi="Cambria Math" w:hint="eastAsia"/>
                  <w:color w:val="000000" w:themeColor="text1"/>
                </w:rPr>
                <m:t>年度总</m:t>
              </m:r>
              <m:r>
                <m:rPr>
                  <m:sty m:val="p"/>
                </m:rPr>
                <w:rPr>
                  <w:rFonts w:ascii="Cambria Math" w:hAnsi="Cambria Math"/>
                  <w:color w:val="000000" w:themeColor="text1"/>
                </w:rPr>
                <m:t>计划发电量</m:t>
              </m:r>
            </m:den>
          </m:f>
          <m:r>
            <m:rPr>
              <m:sty m:val="p"/>
            </m:rPr>
            <w:rPr>
              <w:rFonts w:ascii="Cambria Math" w:hAnsi="Cambria Math"/>
              <w:color w:val="000000" w:themeColor="text1"/>
            </w:rPr>
            <m:t>×100%</m:t>
          </m:r>
        </m:oMath>
      </m:oMathPara>
    </w:p>
    <w:p w14:paraId="1EDAFE43"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指标状态判定准则：适用当月的年末预测发电计划完成率。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5DB10DAB" w14:textId="77777777">
        <w:trPr>
          <w:tblHeader/>
          <w:jc w:val="center"/>
        </w:trPr>
        <w:tc>
          <w:tcPr>
            <w:tcW w:w="2334" w:type="dxa"/>
            <w:tcBorders>
              <w:top w:val="single" w:sz="8" w:space="0" w:color="auto"/>
              <w:bottom w:val="single" w:sz="8" w:space="0" w:color="auto"/>
            </w:tcBorders>
          </w:tcPr>
          <w:p w14:paraId="52590756" w14:textId="77777777" w:rsidR="00BA301C" w:rsidRDefault="00BA301C">
            <w:pPr>
              <w:pStyle w:val="afffffffff9"/>
              <w:spacing w:line="360" w:lineRule="auto"/>
              <w:rPr>
                <w:color w:val="000000" w:themeColor="text1"/>
                <w:szCs w:val="18"/>
              </w:rPr>
            </w:pPr>
          </w:p>
        </w:tc>
        <w:tc>
          <w:tcPr>
            <w:tcW w:w="2333" w:type="dxa"/>
            <w:tcBorders>
              <w:top w:val="single" w:sz="8" w:space="0" w:color="auto"/>
              <w:bottom w:val="single" w:sz="8" w:space="0" w:color="auto"/>
            </w:tcBorders>
          </w:tcPr>
          <w:p w14:paraId="3C7B5485"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2333" w:type="dxa"/>
            <w:tcBorders>
              <w:top w:val="single" w:sz="8" w:space="0" w:color="auto"/>
              <w:bottom w:val="single" w:sz="8" w:space="0" w:color="auto"/>
            </w:tcBorders>
          </w:tcPr>
          <w:p w14:paraId="626649D5"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2334" w:type="dxa"/>
            <w:tcBorders>
              <w:top w:val="single" w:sz="8" w:space="0" w:color="auto"/>
              <w:bottom w:val="single" w:sz="8" w:space="0" w:color="auto"/>
            </w:tcBorders>
          </w:tcPr>
          <w:p w14:paraId="092B5037"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62EED412" w14:textId="77777777">
        <w:trPr>
          <w:jc w:val="center"/>
        </w:trPr>
        <w:tc>
          <w:tcPr>
            <w:tcW w:w="2334" w:type="dxa"/>
            <w:tcBorders>
              <w:top w:val="single" w:sz="8" w:space="0" w:color="auto"/>
            </w:tcBorders>
          </w:tcPr>
          <w:p w14:paraId="6C664218" w14:textId="77777777" w:rsidR="00BA301C" w:rsidRDefault="00000000">
            <w:pPr>
              <w:pStyle w:val="afffffffff9"/>
              <w:spacing w:line="360" w:lineRule="auto"/>
              <w:rPr>
                <w:color w:val="000000" w:themeColor="text1"/>
                <w:szCs w:val="18"/>
              </w:rPr>
            </w:pPr>
            <w:r>
              <w:rPr>
                <w:rFonts w:hAnsi="宋体" w:hint="eastAsia"/>
                <w:color w:val="000000" w:themeColor="text1"/>
                <w:szCs w:val="18"/>
              </w:rPr>
              <w:t>运行机组</w:t>
            </w:r>
          </w:p>
        </w:tc>
        <w:tc>
          <w:tcPr>
            <w:tcW w:w="2333" w:type="dxa"/>
            <w:tcBorders>
              <w:top w:val="single" w:sz="8" w:space="0" w:color="auto"/>
            </w:tcBorders>
          </w:tcPr>
          <w:p w14:paraId="2A027EEB"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≥100%</w:t>
            </w:r>
          </w:p>
        </w:tc>
        <w:tc>
          <w:tcPr>
            <w:tcW w:w="2333" w:type="dxa"/>
            <w:tcBorders>
              <w:top w:val="single" w:sz="8" w:space="0" w:color="auto"/>
            </w:tcBorders>
          </w:tcPr>
          <w:p w14:paraId="3CCBBBF0"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100%＜指标值≤98%</w:t>
            </w:r>
          </w:p>
        </w:tc>
        <w:tc>
          <w:tcPr>
            <w:tcW w:w="2334" w:type="dxa"/>
            <w:tcBorders>
              <w:top w:val="single" w:sz="8" w:space="0" w:color="auto"/>
            </w:tcBorders>
          </w:tcPr>
          <w:p w14:paraId="6EF5B35C" w14:textId="77777777" w:rsidR="00BA301C" w:rsidRDefault="00000000">
            <w:pPr>
              <w:pStyle w:val="afffffffff9"/>
              <w:spacing w:line="360" w:lineRule="auto"/>
              <w:rPr>
                <w:color w:val="000000" w:themeColor="text1"/>
                <w:szCs w:val="18"/>
              </w:rPr>
            </w:pPr>
            <w:r>
              <w:rPr>
                <w:rFonts w:hAnsi="宋体" w:hint="eastAsia"/>
                <w:color w:val="000000" w:themeColor="text1"/>
                <w:szCs w:val="18"/>
              </w:rPr>
              <w:t>＜98%</w:t>
            </w:r>
          </w:p>
        </w:tc>
      </w:tr>
      <w:tr w:rsidR="00BA301C" w14:paraId="4B6C5611" w14:textId="77777777">
        <w:trPr>
          <w:jc w:val="center"/>
        </w:trPr>
        <w:tc>
          <w:tcPr>
            <w:tcW w:w="2334" w:type="dxa"/>
          </w:tcPr>
          <w:p w14:paraId="7F4A95EB" w14:textId="77777777" w:rsidR="00BA301C" w:rsidRDefault="00000000">
            <w:pPr>
              <w:pStyle w:val="afffffffff9"/>
              <w:spacing w:line="360" w:lineRule="auto"/>
              <w:rPr>
                <w:color w:val="000000" w:themeColor="text1"/>
                <w:szCs w:val="18"/>
              </w:rPr>
            </w:pPr>
            <w:r>
              <w:rPr>
                <w:rFonts w:hAnsi="宋体" w:hint="eastAsia"/>
                <w:color w:val="000000" w:themeColor="text1"/>
                <w:szCs w:val="18"/>
              </w:rPr>
              <w:t>新机组</w:t>
            </w:r>
          </w:p>
        </w:tc>
        <w:tc>
          <w:tcPr>
            <w:tcW w:w="2333" w:type="dxa"/>
          </w:tcPr>
          <w:p w14:paraId="6B666156" w14:textId="77777777" w:rsidR="00BA301C" w:rsidRDefault="00000000">
            <w:pPr>
              <w:pStyle w:val="afffffffff9"/>
              <w:spacing w:line="360" w:lineRule="auto"/>
              <w:rPr>
                <w:color w:val="000000" w:themeColor="text1"/>
                <w:szCs w:val="18"/>
              </w:rPr>
            </w:pPr>
            <w:r>
              <w:rPr>
                <w:rFonts w:hAnsi="宋体" w:hint="eastAsia"/>
                <w:color w:val="000000" w:themeColor="text1"/>
                <w:szCs w:val="18"/>
              </w:rPr>
              <w:t>≥98%</w:t>
            </w:r>
          </w:p>
        </w:tc>
        <w:tc>
          <w:tcPr>
            <w:tcW w:w="2333" w:type="dxa"/>
          </w:tcPr>
          <w:p w14:paraId="51B121F1" w14:textId="77777777" w:rsidR="00BA301C" w:rsidRDefault="00000000">
            <w:pPr>
              <w:pStyle w:val="afffffffff9"/>
              <w:spacing w:line="360" w:lineRule="auto"/>
              <w:rPr>
                <w:color w:val="000000" w:themeColor="text1"/>
                <w:szCs w:val="18"/>
              </w:rPr>
            </w:pPr>
            <w:r>
              <w:rPr>
                <w:rFonts w:hAnsi="宋体" w:hint="eastAsia"/>
                <w:color w:val="000000" w:themeColor="text1"/>
                <w:szCs w:val="18"/>
              </w:rPr>
              <w:t>98%＜指标值≤95%</w:t>
            </w:r>
          </w:p>
        </w:tc>
        <w:tc>
          <w:tcPr>
            <w:tcW w:w="2334" w:type="dxa"/>
          </w:tcPr>
          <w:p w14:paraId="13700494" w14:textId="77777777" w:rsidR="00BA301C" w:rsidRDefault="00000000">
            <w:pPr>
              <w:pStyle w:val="afffffffff9"/>
              <w:spacing w:line="360" w:lineRule="auto"/>
              <w:rPr>
                <w:color w:val="000000" w:themeColor="text1"/>
                <w:szCs w:val="18"/>
              </w:rPr>
            </w:pPr>
            <w:r>
              <w:rPr>
                <w:rFonts w:hAnsi="宋体" w:hint="eastAsia"/>
                <w:color w:val="000000" w:themeColor="text1"/>
                <w:szCs w:val="18"/>
              </w:rPr>
              <w:t>＜95%</w:t>
            </w:r>
          </w:p>
        </w:tc>
      </w:tr>
    </w:tbl>
    <w:p w14:paraId="162E9BC7" w14:textId="77777777" w:rsidR="00BA301C" w:rsidRDefault="00000000">
      <w:pPr>
        <w:pStyle w:val="afffff5"/>
        <w:spacing w:line="360" w:lineRule="auto"/>
        <w:ind w:firstLine="420"/>
        <w:rPr>
          <w:color w:val="000000" w:themeColor="text1"/>
        </w:rPr>
      </w:pPr>
      <w:r>
        <w:rPr>
          <w:rFonts w:hint="eastAsia"/>
          <w:color w:val="000000" w:themeColor="text1"/>
        </w:rPr>
        <w:t>其他说明：商运两年内（含2年）的机组，定义为新机组。</w:t>
      </w:r>
    </w:p>
    <w:p w14:paraId="151ACD5B" w14:textId="77777777" w:rsidR="00BA301C" w:rsidRDefault="00000000">
      <w:pPr>
        <w:pStyle w:val="aff4"/>
        <w:spacing w:before="120" w:after="120" w:line="360" w:lineRule="auto"/>
        <w:rPr>
          <w:color w:val="000000" w:themeColor="text1"/>
        </w:rPr>
      </w:pPr>
      <w:r>
        <w:rPr>
          <w:rFonts w:hint="eastAsia"/>
          <w:color w:val="000000" w:themeColor="text1"/>
        </w:rPr>
        <w:t>操纵员补偿与负担</w:t>
      </w:r>
    </w:p>
    <w:p w14:paraId="4044C80B"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定义：每月按机组统计降级的设备或状态，这些设备或状态的降级导致运行人员在正常运行期间需要大量补偿措施。除了设备或状态的降级外，补偿措施还可能是由临时变更等造成的结果。如果下列任</w:t>
      </w:r>
      <w:proofErr w:type="gramStart"/>
      <w:r>
        <w:rPr>
          <w:rFonts w:hint="eastAsia"/>
          <w:color w:val="000000" w:themeColor="text1"/>
        </w:rPr>
        <w:lastRenderedPageBreak/>
        <w:t>一</w:t>
      </w:r>
      <w:proofErr w:type="gramEnd"/>
      <w:r>
        <w:rPr>
          <w:rFonts w:hint="eastAsia"/>
          <w:color w:val="000000" w:themeColor="text1"/>
        </w:rPr>
        <w:t>情况符合，则认为操纵员的补偿是“大量的”：1）执行时间超过5分钟；2）每班执行的次数多于一次；3）执行时存在个人安全威胁（例如工作时靠近高温管道等）。</w:t>
      </w:r>
    </w:p>
    <w:p w14:paraId="29BB1960" w14:textId="77777777" w:rsidR="00BA301C" w:rsidRDefault="00000000">
      <w:pPr>
        <w:pStyle w:val="afffff5"/>
        <w:spacing w:line="360" w:lineRule="auto"/>
        <w:ind w:firstLine="420"/>
        <w:rPr>
          <w:color w:val="000000" w:themeColor="text1"/>
        </w:rPr>
      </w:pPr>
      <w:r>
        <w:rPr>
          <w:rFonts w:hint="eastAsia"/>
          <w:color w:val="000000" w:themeColor="text1"/>
        </w:rPr>
        <w:t>数据项：统计机组在每个月末（以最后一个工作日为统计日）实际存在的操纵员补偿与负担个数（如果是缺陷引起的，并且这个缺陷已经在当月消除的不计入统计）。公用机组的操纵员补偿与负担指标要同时体现在两台机组指标中。例如，在双机组电站中，公用应急柴油发电机中的一个缺陷，1号机组和2号机组都需要纳入统计。</w:t>
      </w:r>
    </w:p>
    <w:p w14:paraId="09C94761" w14:textId="77777777" w:rsidR="00BA301C" w:rsidRDefault="00000000">
      <w:pPr>
        <w:pStyle w:val="afffff5"/>
        <w:spacing w:line="360" w:lineRule="auto"/>
        <w:ind w:firstLine="420"/>
        <w:rPr>
          <w:color w:val="000000" w:themeColor="text1"/>
        </w:rPr>
      </w:pPr>
      <w:r>
        <w:rPr>
          <w:rFonts w:hint="eastAsia"/>
          <w:color w:val="000000" w:themeColor="text1"/>
        </w:rPr>
        <w:t>计算方法：记录机组在当月月</w:t>
      </w:r>
      <w:proofErr w:type="gramStart"/>
      <w:r>
        <w:rPr>
          <w:rFonts w:hint="eastAsia"/>
          <w:color w:val="000000" w:themeColor="text1"/>
        </w:rPr>
        <w:t>末仍然</w:t>
      </w:r>
      <w:proofErr w:type="gramEnd"/>
      <w:r>
        <w:rPr>
          <w:rFonts w:hint="eastAsia"/>
          <w:color w:val="000000" w:themeColor="text1"/>
        </w:rPr>
        <w:t>存在的“操纵员补偿与负担”数量。</w:t>
      </w:r>
    </w:p>
    <w:p w14:paraId="09C3FD01"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F00EE69" w14:textId="77777777">
        <w:trPr>
          <w:tblHeader/>
          <w:jc w:val="center"/>
        </w:trPr>
        <w:tc>
          <w:tcPr>
            <w:tcW w:w="3110" w:type="dxa"/>
            <w:tcBorders>
              <w:top w:val="single" w:sz="8" w:space="0" w:color="auto"/>
              <w:bottom w:val="single" w:sz="8" w:space="0" w:color="auto"/>
            </w:tcBorders>
          </w:tcPr>
          <w:p w14:paraId="3ECDBBA5"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75A49031"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453C8D2E"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3B3180CB" w14:textId="77777777">
        <w:trPr>
          <w:jc w:val="center"/>
        </w:trPr>
        <w:tc>
          <w:tcPr>
            <w:tcW w:w="3110" w:type="dxa"/>
            <w:tcBorders>
              <w:top w:val="single" w:sz="8" w:space="0" w:color="auto"/>
            </w:tcBorders>
          </w:tcPr>
          <w:p w14:paraId="21C6FDAD" w14:textId="77777777" w:rsidR="00BA301C" w:rsidRDefault="00000000">
            <w:pPr>
              <w:pStyle w:val="afffffffff9"/>
              <w:spacing w:line="360" w:lineRule="auto"/>
              <w:rPr>
                <w:color w:val="000000" w:themeColor="text1"/>
                <w:szCs w:val="18"/>
              </w:rPr>
            </w:pPr>
            <w:r>
              <w:rPr>
                <w:rFonts w:hAnsi="宋体" w:hint="eastAsia"/>
                <w:color w:val="000000" w:themeColor="text1"/>
                <w:szCs w:val="18"/>
              </w:rPr>
              <w:t>≤3</w:t>
            </w:r>
          </w:p>
        </w:tc>
        <w:tc>
          <w:tcPr>
            <w:tcW w:w="3112" w:type="dxa"/>
            <w:tcBorders>
              <w:top w:val="single" w:sz="8" w:space="0" w:color="auto"/>
            </w:tcBorders>
          </w:tcPr>
          <w:p w14:paraId="69FE8CEB"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10＞指标值≥4</w:t>
            </w:r>
          </w:p>
        </w:tc>
        <w:tc>
          <w:tcPr>
            <w:tcW w:w="3112" w:type="dxa"/>
            <w:tcBorders>
              <w:top w:val="single" w:sz="8" w:space="0" w:color="auto"/>
            </w:tcBorders>
          </w:tcPr>
          <w:p w14:paraId="6571009D"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w:t>
            </w:r>
          </w:p>
        </w:tc>
      </w:tr>
    </w:tbl>
    <w:p w14:paraId="7526CBF3" w14:textId="77777777" w:rsidR="00BA301C" w:rsidRDefault="00000000">
      <w:pPr>
        <w:pStyle w:val="aff4"/>
        <w:spacing w:before="120" w:after="120" w:line="360" w:lineRule="auto"/>
        <w:rPr>
          <w:color w:val="000000" w:themeColor="text1"/>
        </w:rPr>
      </w:pPr>
      <w:r>
        <w:rPr>
          <w:rFonts w:hint="eastAsia"/>
          <w:color w:val="000000" w:themeColor="text1"/>
        </w:rPr>
        <w:t>日常待处理关键设备缺陷</w:t>
      </w:r>
    </w:p>
    <w:p w14:paraId="6C6B322B"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定义：每月按机组统计，需要维修并可在机组功率运行时执行的关键设备缺陷数量。</w:t>
      </w:r>
    </w:p>
    <w:p w14:paraId="6770966D" w14:textId="77777777" w:rsidR="00BA301C" w:rsidRDefault="00000000">
      <w:pPr>
        <w:pStyle w:val="afffff5"/>
        <w:spacing w:line="360" w:lineRule="auto"/>
        <w:ind w:firstLine="420"/>
        <w:rPr>
          <w:color w:val="000000" w:themeColor="text1"/>
        </w:rPr>
      </w:pPr>
      <w:r>
        <w:rPr>
          <w:rFonts w:hint="eastAsia"/>
          <w:color w:val="000000" w:themeColor="text1"/>
        </w:rPr>
        <w:t>数据项：每月统计机组在月末存在的关键设备缺陷数量。</w:t>
      </w:r>
    </w:p>
    <w:p w14:paraId="6547C8B5" w14:textId="77777777" w:rsidR="00BA301C" w:rsidRDefault="00000000">
      <w:pPr>
        <w:pStyle w:val="afffff5"/>
        <w:spacing w:line="360" w:lineRule="auto"/>
        <w:ind w:firstLine="420"/>
        <w:rPr>
          <w:color w:val="000000" w:themeColor="text1"/>
        </w:rPr>
      </w:pPr>
      <w:r>
        <w:rPr>
          <w:rFonts w:hint="eastAsia"/>
          <w:color w:val="000000" w:themeColor="text1"/>
        </w:rPr>
        <w:t>计算方法：计算在月末存在的关键设备缺陷数量。</w:t>
      </w:r>
    </w:p>
    <w:p w14:paraId="0DEBC44A"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079CE7A4" w14:textId="77777777">
        <w:trPr>
          <w:tblHeader/>
          <w:jc w:val="center"/>
        </w:trPr>
        <w:tc>
          <w:tcPr>
            <w:tcW w:w="3110" w:type="dxa"/>
          </w:tcPr>
          <w:p w14:paraId="28D5FA04"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Pr>
          <w:p w14:paraId="33E52898"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Pr>
          <w:p w14:paraId="79533172"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2C07E1D2" w14:textId="77777777">
        <w:trPr>
          <w:jc w:val="center"/>
        </w:trPr>
        <w:tc>
          <w:tcPr>
            <w:tcW w:w="3110" w:type="dxa"/>
          </w:tcPr>
          <w:p w14:paraId="296F308F" w14:textId="77777777" w:rsidR="00BA301C" w:rsidRDefault="00000000">
            <w:pPr>
              <w:pStyle w:val="afffffffff9"/>
              <w:spacing w:line="360" w:lineRule="auto"/>
              <w:rPr>
                <w:color w:val="000000" w:themeColor="text1"/>
                <w:szCs w:val="18"/>
              </w:rPr>
            </w:pPr>
            <w:r>
              <w:rPr>
                <w:rFonts w:hAnsi="宋体" w:hint="eastAsia"/>
                <w:color w:val="000000" w:themeColor="text1"/>
                <w:szCs w:val="18"/>
              </w:rPr>
              <w:t>当月值＜5</w:t>
            </w:r>
          </w:p>
        </w:tc>
        <w:tc>
          <w:tcPr>
            <w:tcW w:w="3112" w:type="dxa"/>
          </w:tcPr>
          <w:p w14:paraId="29A69759" w14:textId="77777777" w:rsidR="00BA301C" w:rsidRDefault="00000000">
            <w:pPr>
              <w:pStyle w:val="afffffffff9"/>
              <w:spacing w:line="360" w:lineRule="auto"/>
              <w:rPr>
                <w:color w:val="000000" w:themeColor="text1"/>
                <w:szCs w:val="18"/>
              </w:rPr>
            </w:pPr>
            <w:r>
              <w:rPr>
                <w:rFonts w:hAnsi="宋体" w:hint="eastAsia"/>
                <w:color w:val="000000" w:themeColor="text1"/>
                <w:szCs w:val="18"/>
              </w:rPr>
              <w:t>15≥指标值≥5</w:t>
            </w:r>
          </w:p>
        </w:tc>
        <w:tc>
          <w:tcPr>
            <w:tcW w:w="3112" w:type="dxa"/>
          </w:tcPr>
          <w:p w14:paraId="7708EA0D" w14:textId="77777777" w:rsidR="00BA301C" w:rsidRDefault="00000000">
            <w:pPr>
              <w:pStyle w:val="afffffffff9"/>
              <w:spacing w:line="360" w:lineRule="auto"/>
              <w:rPr>
                <w:color w:val="000000" w:themeColor="text1"/>
                <w:szCs w:val="18"/>
              </w:rPr>
            </w:pPr>
            <w:r>
              <w:rPr>
                <w:rFonts w:hAnsi="宋体" w:hint="eastAsia"/>
                <w:color w:val="000000" w:themeColor="text1"/>
                <w:szCs w:val="18"/>
              </w:rPr>
              <w:t>当月值＞15</w:t>
            </w:r>
          </w:p>
        </w:tc>
      </w:tr>
    </w:tbl>
    <w:p w14:paraId="456EFABF" w14:textId="77777777" w:rsidR="00BA301C" w:rsidRDefault="00000000">
      <w:pPr>
        <w:pStyle w:val="aff4"/>
        <w:spacing w:before="120" w:after="120" w:line="360" w:lineRule="auto"/>
        <w:rPr>
          <w:color w:val="000000" w:themeColor="text1"/>
        </w:rPr>
      </w:pPr>
      <w:r>
        <w:rPr>
          <w:rFonts w:hint="eastAsia"/>
          <w:color w:val="000000" w:themeColor="text1"/>
        </w:rPr>
        <w:t>临界7000小时非计划停堆次数</w:t>
      </w:r>
    </w:p>
    <w:p w14:paraId="4D9659D6" w14:textId="77777777" w:rsidR="00BA301C" w:rsidRDefault="00000000">
      <w:pPr>
        <w:pStyle w:val="afffff5"/>
        <w:spacing w:line="360" w:lineRule="auto"/>
        <w:ind w:firstLine="420"/>
        <w:rPr>
          <w:color w:val="000000" w:themeColor="text1"/>
        </w:rPr>
      </w:pPr>
      <w:r>
        <w:rPr>
          <w:rFonts w:hint="eastAsia"/>
          <w:color w:val="000000" w:themeColor="text1"/>
        </w:rPr>
        <w:t>定义：每临界运行</w:t>
      </w:r>
      <w:r>
        <w:rPr>
          <w:color w:val="000000" w:themeColor="text1"/>
        </w:rPr>
        <w:t>7000</w:t>
      </w:r>
      <w:r>
        <w:rPr>
          <w:rFonts w:hint="eastAsia"/>
          <w:color w:val="000000" w:themeColor="text1"/>
        </w:rPr>
        <w:t>小时所发生的非计划自动和手动紧急停堆次数。</w:t>
      </w:r>
    </w:p>
    <w:p w14:paraId="1C014887"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t>
      </w:r>
      <w:r>
        <w:rPr>
          <w:rFonts w:hAnsi="宋体"/>
          <w:color w:val="000000" w:themeColor="text1"/>
          <w:szCs w:val="21"/>
        </w:rPr>
        <w:t>12月滚动累计值</w:t>
      </w:r>
      <w:r>
        <w:rPr>
          <w:rFonts w:hint="eastAsia"/>
          <w:color w:val="000000" w:themeColor="text1"/>
        </w:rPr>
        <w:t>。</w:t>
      </w:r>
    </w:p>
    <w:p w14:paraId="78481817" w14:textId="77777777" w:rsidR="00BA301C" w:rsidRDefault="00000000">
      <w:pPr>
        <w:pStyle w:val="afffff5"/>
        <w:spacing w:line="360" w:lineRule="auto"/>
        <w:ind w:firstLine="420"/>
        <w:rPr>
          <w:rFonts w:ascii="Cambria Math" w:hAnsi="Cambria Math"/>
          <w:color w:val="000000" w:themeColor="text1"/>
        </w:rPr>
      </w:pPr>
      <w:r>
        <w:rPr>
          <w:rFonts w:hint="eastAsia"/>
          <w:color w:val="000000" w:themeColor="text1"/>
        </w:rPr>
        <w:t>计算方法：</w:t>
      </w:r>
      <w:r>
        <w:rPr>
          <w:rFonts w:ascii="Cambria Math" w:hAnsi="Cambria Math" w:hint="eastAsia"/>
          <w:color w:val="000000" w:themeColor="text1"/>
        </w:rPr>
        <w:br/>
      </w: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临界期间非计划</m:t>
              </m:r>
              <m:r>
                <m:rPr>
                  <m:sty m:val="p"/>
                </m:rPr>
                <w:rPr>
                  <w:rFonts w:ascii="Cambria Math" w:hAnsi="Cambria Math" w:hint="eastAsia"/>
                  <w:color w:val="000000" w:themeColor="text1"/>
                </w:rPr>
                <m:t>自动</m:t>
              </m:r>
              <m:r>
                <m:rPr>
                  <m:sty m:val="p"/>
                </m:rPr>
                <w:rPr>
                  <w:rFonts w:ascii="Cambria Math" w:hAnsi="Cambria Math"/>
                  <w:color w:val="000000" w:themeColor="text1"/>
                </w:rPr>
                <m:t>+</m:t>
              </m:r>
              <m:r>
                <m:rPr>
                  <m:sty m:val="p"/>
                </m:rPr>
                <w:rPr>
                  <w:rFonts w:ascii="Cambria Math" w:hAnsi="Cambria Math" w:hint="eastAsia"/>
                  <w:color w:val="000000" w:themeColor="text1"/>
                </w:rPr>
                <m:t>手动</m:t>
              </m:r>
              <m:r>
                <m:rPr>
                  <m:sty m:val="p"/>
                </m:rPr>
                <w:rPr>
                  <w:rFonts w:ascii="Cambria Math" w:hAnsi="Cambria Math"/>
                  <w:color w:val="000000" w:themeColor="text1"/>
                </w:rPr>
                <m:t>停堆</m:t>
              </m:r>
              <m:r>
                <m:rPr>
                  <m:sty m:val="p"/>
                </m:rPr>
                <w:rPr>
                  <w:rFonts w:ascii="Cambria Math" w:hAnsi="Cambria Math" w:hint="eastAsia"/>
                  <w:color w:val="000000" w:themeColor="text1"/>
                </w:rPr>
                <m:t>总</m:t>
              </m:r>
              <m:r>
                <m:rPr>
                  <m:sty m:val="p"/>
                </m:rPr>
                <w:rPr>
                  <w:rFonts w:ascii="Cambria Math" w:hAnsi="Cambria Math"/>
                  <w:color w:val="000000" w:themeColor="text1"/>
                </w:rPr>
                <m:t>次数</m:t>
              </m:r>
            </m:num>
            <m:den>
              <m:r>
                <m:rPr>
                  <m:sty m:val="p"/>
                </m:rPr>
                <w:rPr>
                  <w:rFonts w:ascii="Cambria Math" w:hAnsi="Cambria Math" w:hint="eastAsia"/>
                  <w:color w:val="000000" w:themeColor="text1"/>
                </w:rPr>
                <m:t>临界</m:t>
              </m:r>
              <m:r>
                <m:rPr>
                  <m:sty m:val="p"/>
                </m:rPr>
                <w:rPr>
                  <w:rFonts w:ascii="Cambria Math" w:hAnsi="Cambria Math"/>
                  <w:color w:val="000000" w:themeColor="text1"/>
                </w:rPr>
                <m:t>运行小时数</m:t>
              </m:r>
            </m:den>
          </m:f>
          <m:r>
            <m:rPr>
              <m:sty m:val="p"/>
            </m:rPr>
            <w:rPr>
              <w:rFonts w:ascii="Cambria Math" w:hAnsi="Cambria Math"/>
              <w:color w:val="000000" w:themeColor="text1"/>
            </w:rPr>
            <m:t>×7000</m:t>
          </m:r>
          <m:r>
            <m:rPr>
              <m:sty m:val="p"/>
            </m:rPr>
            <w:rPr>
              <w:rFonts w:ascii="Cambria Math" w:hAnsi="Cambria Math"/>
              <w:color w:val="000000" w:themeColor="text1"/>
            </w:rPr>
            <m:t>小时</m:t>
          </m:r>
        </m:oMath>
      </m:oMathPara>
    </w:p>
    <w:p w14:paraId="00D11B47"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指标状态判定准则：适用12月滚动累计值。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21F29903" w14:textId="77777777">
        <w:trPr>
          <w:tblHeader/>
          <w:jc w:val="center"/>
        </w:trPr>
        <w:tc>
          <w:tcPr>
            <w:tcW w:w="2334" w:type="dxa"/>
            <w:tcBorders>
              <w:top w:val="single" w:sz="8" w:space="0" w:color="auto"/>
              <w:bottom w:val="single" w:sz="8" w:space="0" w:color="auto"/>
            </w:tcBorders>
          </w:tcPr>
          <w:p w14:paraId="71101C13" w14:textId="77777777" w:rsidR="00BA301C" w:rsidRDefault="00BA301C">
            <w:pPr>
              <w:pStyle w:val="afffffffff9"/>
              <w:spacing w:line="360" w:lineRule="auto"/>
              <w:rPr>
                <w:rFonts w:hAnsi="宋体" w:hint="eastAsia"/>
                <w:color w:val="000000" w:themeColor="text1"/>
              </w:rPr>
            </w:pPr>
          </w:p>
        </w:tc>
        <w:tc>
          <w:tcPr>
            <w:tcW w:w="2333" w:type="dxa"/>
            <w:tcBorders>
              <w:top w:val="single" w:sz="8" w:space="0" w:color="auto"/>
              <w:bottom w:val="single" w:sz="8" w:space="0" w:color="auto"/>
            </w:tcBorders>
          </w:tcPr>
          <w:p w14:paraId="12120855"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58D65475"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3172F375"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红灯</w:t>
            </w:r>
          </w:p>
        </w:tc>
      </w:tr>
      <w:tr w:rsidR="00BA301C" w14:paraId="3860CBE9" w14:textId="77777777">
        <w:trPr>
          <w:jc w:val="center"/>
        </w:trPr>
        <w:tc>
          <w:tcPr>
            <w:tcW w:w="2334" w:type="dxa"/>
            <w:tcBorders>
              <w:top w:val="single" w:sz="8" w:space="0" w:color="auto"/>
            </w:tcBorders>
          </w:tcPr>
          <w:p w14:paraId="72E4C2D5"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运行机组</w:t>
            </w:r>
          </w:p>
        </w:tc>
        <w:tc>
          <w:tcPr>
            <w:tcW w:w="2333" w:type="dxa"/>
            <w:tcBorders>
              <w:top w:val="single" w:sz="8" w:space="0" w:color="auto"/>
            </w:tcBorders>
          </w:tcPr>
          <w:p w14:paraId="4D134ECD"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w:t>
            </w:r>
          </w:p>
        </w:tc>
        <w:tc>
          <w:tcPr>
            <w:tcW w:w="2333" w:type="dxa"/>
            <w:tcBorders>
              <w:top w:val="single" w:sz="8" w:space="0" w:color="auto"/>
            </w:tcBorders>
          </w:tcPr>
          <w:p w14:paraId="78C2FE30"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0＜指标值＜1</w:t>
            </w:r>
          </w:p>
        </w:tc>
        <w:tc>
          <w:tcPr>
            <w:tcW w:w="2334" w:type="dxa"/>
            <w:tcBorders>
              <w:top w:val="single" w:sz="8" w:space="0" w:color="auto"/>
            </w:tcBorders>
          </w:tcPr>
          <w:p w14:paraId="6B9E70F8"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≥1</w:t>
            </w:r>
          </w:p>
        </w:tc>
      </w:tr>
      <w:tr w:rsidR="00BA301C" w14:paraId="71795A7A" w14:textId="77777777">
        <w:trPr>
          <w:jc w:val="center"/>
        </w:trPr>
        <w:tc>
          <w:tcPr>
            <w:tcW w:w="2334" w:type="dxa"/>
          </w:tcPr>
          <w:p w14:paraId="747B802F"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新机组</w:t>
            </w:r>
          </w:p>
        </w:tc>
        <w:tc>
          <w:tcPr>
            <w:tcW w:w="2333" w:type="dxa"/>
          </w:tcPr>
          <w:p w14:paraId="40F18369"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w:t>
            </w:r>
          </w:p>
        </w:tc>
        <w:tc>
          <w:tcPr>
            <w:tcW w:w="2333" w:type="dxa"/>
          </w:tcPr>
          <w:p w14:paraId="0C4B2233"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0＜指标值＜2</w:t>
            </w:r>
          </w:p>
        </w:tc>
        <w:tc>
          <w:tcPr>
            <w:tcW w:w="2334" w:type="dxa"/>
          </w:tcPr>
          <w:p w14:paraId="396BA3D8"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≥2</w:t>
            </w:r>
          </w:p>
        </w:tc>
      </w:tr>
    </w:tbl>
    <w:p w14:paraId="5790DF53" w14:textId="77777777" w:rsidR="00BA301C" w:rsidRDefault="00000000">
      <w:pPr>
        <w:pStyle w:val="aff4"/>
        <w:spacing w:before="120" w:after="120" w:line="360" w:lineRule="auto"/>
        <w:rPr>
          <w:color w:val="000000" w:themeColor="text1"/>
        </w:rPr>
      </w:pPr>
      <w:r>
        <w:rPr>
          <w:rFonts w:hint="eastAsia"/>
          <w:color w:val="000000" w:themeColor="text1"/>
        </w:rPr>
        <w:t>临界7000小时非计划停机次数</w:t>
      </w:r>
    </w:p>
    <w:p w14:paraId="6BD4474B" w14:textId="77777777" w:rsidR="00BA301C" w:rsidRDefault="00000000">
      <w:pPr>
        <w:pStyle w:val="afffff5"/>
        <w:spacing w:line="360" w:lineRule="auto"/>
        <w:ind w:firstLine="420"/>
        <w:rPr>
          <w:color w:val="000000" w:themeColor="text1"/>
        </w:rPr>
      </w:pPr>
      <w:r>
        <w:rPr>
          <w:rFonts w:hint="eastAsia"/>
          <w:color w:val="000000" w:themeColor="text1"/>
        </w:rPr>
        <w:t>定义：每临界运行7000小时所发生的非计划自动和手动停机次数。</w:t>
      </w:r>
    </w:p>
    <w:p w14:paraId="49C007C6"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数据项：每月以机组为单位统计算12月滚动累计值。</w:t>
      </w:r>
    </w:p>
    <w:p w14:paraId="66F716C3"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rFonts w:hint="eastAsia"/>
          <w:color w:val="000000" w:themeColor="text1"/>
        </w:rPr>
        <w:br/>
      </w:r>
      <m:oMathPara>
        <m:oMathParaPr>
          <m:jc m:val="center"/>
        </m:oMathParaPr>
        <m:oMath>
          <m:r>
            <m:rPr>
              <m:sty m:val="p"/>
            </m:rPr>
            <w:rPr>
              <w:rFonts w:ascii="Cambria Math" w:hAnsi="Cambria Math" w:hint="eastAsia"/>
              <w:color w:val="000000" w:themeColor="text1"/>
            </w:rPr>
            <w:lastRenderedPageBreak/>
            <m:t>=</m:t>
          </m:r>
          <m:f>
            <m:fPr>
              <m:ctrlPr>
                <w:rPr>
                  <w:rFonts w:ascii="Cambria Math" w:hAnsi="Cambria Math"/>
                  <w:color w:val="000000" w:themeColor="text1"/>
                </w:rPr>
              </m:ctrlPr>
            </m:fPr>
            <m:num>
              <m:r>
                <m:rPr>
                  <m:sty m:val="p"/>
                </m:rPr>
                <w:rPr>
                  <w:rFonts w:ascii="Cambria Math" w:hAnsi="Cambria Math"/>
                  <w:color w:val="000000" w:themeColor="text1"/>
                </w:rPr>
                <m:t>临界</m:t>
              </m:r>
              <m:r>
                <m:rPr>
                  <m:sty m:val="p"/>
                </m:rPr>
                <w:rPr>
                  <w:rFonts w:ascii="Cambria Math" w:hAnsi="Cambria Math" w:hint="eastAsia"/>
                  <w:color w:val="000000" w:themeColor="text1"/>
                </w:rPr>
                <m:t>汽机</m:t>
              </m:r>
              <m:r>
                <m:rPr>
                  <m:sty m:val="p"/>
                </m:rPr>
                <w:rPr>
                  <w:rFonts w:ascii="Cambria Math" w:hAnsi="宋体"/>
                  <w:color w:val="000000" w:themeColor="text1"/>
                </w:rPr>
                <m:t>非计划自动</m:t>
              </m:r>
              <m:r>
                <m:rPr>
                  <m:sty m:val="p"/>
                </m:rPr>
                <w:rPr>
                  <w:rFonts w:ascii="Cambria Math" w:hAnsi="宋体"/>
                  <w:color w:val="000000" w:themeColor="text1"/>
                </w:rPr>
                <m:t>+</m:t>
              </m:r>
              <m:r>
                <m:rPr>
                  <m:sty m:val="p"/>
                </m:rPr>
                <w:rPr>
                  <w:rFonts w:ascii="Cambria Math" w:hAnsi="宋体"/>
                  <w:color w:val="000000" w:themeColor="text1"/>
                </w:rPr>
                <m:t>手动停</m:t>
              </m:r>
              <m:r>
                <m:rPr>
                  <m:sty m:val="p"/>
                </m:rPr>
                <w:rPr>
                  <w:rFonts w:ascii="Cambria Math" w:hAnsi="宋体" w:hint="eastAsia"/>
                  <w:color w:val="000000" w:themeColor="text1"/>
                </w:rPr>
                <m:t>机</m:t>
              </m:r>
              <m:r>
                <m:rPr>
                  <m:sty m:val="p"/>
                </m:rPr>
                <w:rPr>
                  <w:rFonts w:ascii="Cambria Math" w:hAnsi="宋体"/>
                  <w:color w:val="000000" w:themeColor="text1"/>
                </w:rPr>
                <m:t>总次数</m:t>
              </m:r>
            </m:num>
            <m:den>
              <m:r>
                <m:rPr>
                  <m:sty m:val="p"/>
                </m:rPr>
                <w:rPr>
                  <w:rFonts w:ascii="Cambria Math" w:hAnsi="Cambria Math" w:hint="eastAsia"/>
                  <w:color w:val="000000" w:themeColor="text1"/>
                </w:rPr>
                <m:t>临界</m:t>
              </m:r>
              <m:r>
                <m:rPr>
                  <m:sty m:val="p"/>
                </m:rPr>
                <w:rPr>
                  <w:rFonts w:ascii="Cambria Math" w:hAnsi="Cambria Math"/>
                  <w:color w:val="000000" w:themeColor="text1"/>
                </w:rPr>
                <m:t>运行小时数</m:t>
              </m:r>
            </m:den>
          </m:f>
          <m:r>
            <m:rPr>
              <m:sty m:val="p"/>
            </m:rPr>
            <w:rPr>
              <w:rFonts w:ascii="Cambria Math" w:hAnsi="Cambria Math"/>
              <w:color w:val="000000" w:themeColor="text1"/>
            </w:rPr>
            <m:t>×7000</m:t>
          </m:r>
          <m:r>
            <m:rPr>
              <m:sty m:val="p"/>
            </m:rPr>
            <w:rPr>
              <w:rFonts w:ascii="Cambria Math" w:hAnsi="Cambria Math"/>
              <w:color w:val="000000" w:themeColor="text1"/>
            </w:rPr>
            <m:t>小时</m:t>
          </m:r>
        </m:oMath>
      </m:oMathPara>
    </w:p>
    <w:p w14:paraId="30311CE5"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指标状态判定准则：适用12月滚动累计值。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206BA7B7" w14:textId="77777777">
        <w:trPr>
          <w:tblHeader/>
          <w:jc w:val="center"/>
        </w:trPr>
        <w:tc>
          <w:tcPr>
            <w:tcW w:w="2334" w:type="dxa"/>
            <w:tcBorders>
              <w:top w:val="single" w:sz="8" w:space="0" w:color="auto"/>
              <w:bottom w:val="single" w:sz="8" w:space="0" w:color="auto"/>
            </w:tcBorders>
          </w:tcPr>
          <w:p w14:paraId="672E3FCD" w14:textId="77777777" w:rsidR="00BA301C" w:rsidRDefault="00BA301C">
            <w:pPr>
              <w:pStyle w:val="afffffffff9"/>
              <w:spacing w:line="360" w:lineRule="auto"/>
              <w:rPr>
                <w:rFonts w:hAnsi="宋体" w:hint="eastAsia"/>
                <w:color w:val="000000" w:themeColor="text1"/>
              </w:rPr>
            </w:pPr>
          </w:p>
        </w:tc>
        <w:tc>
          <w:tcPr>
            <w:tcW w:w="2333" w:type="dxa"/>
            <w:tcBorders>
              <w:top w:val="single" w:sz="8" w:space="0" w:color="auto"/>
              <w:bottom w:val="single" w:sz="8" w:space="0" w:color="auto"/>
            </w:tcBorders>
          </w:tcPr>
          <w:p w14:paraId="745287AB"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1D2B900D"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2B420FFA"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红灯</w:t>
            </w:r>
          </w:p>
        </w:tc>
      </w:tr>
      <w:tr w:rsidR="00BA301C" w14:paraId="6DB1983A" w14:textId="77777777">
        <w:trPr>
          <w:jc w:val="center"/>
        </w:trPr>
        <w:tc>
          <w:tcPr>
            <w:tcW w:w="2334" w:type="dxa"/>
            <w:tcBorders>
              <w:top w:val="single" w:sz="8" w:space="0" w:color="auto"/>
            </w:tcBorders>
          </w:tcPr>
          <w:p w14:paraId="5D0DCC4E"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运行机组</w:t>
            </w:r>
          </w:p>
        </w:tc>
        <w:tc>
          <w:tcPr>
            <w:tcW w:w="2333" w:type="dxa"/>
            <w:tcBorders>
              <w:top w:val="single" w:sz="8" w:space="0" w:color="auto"/>
            </w:tcBorders>
          </w:tcPr>
          <w:p w14:paraId="7563A858"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w:t>
            </w:r>
          </w:p>
        </w:tc>
        <w:tc>
          <w:tcPr>
            <w:tcW w:w="2333" w:type="dxa"/>
            <w:tcBorders>
              <w:top w:val="single" w:sz="8" w:space="0" w:color="auto"/>
            </w:tcBorders>
          </w:tcPr>
          <w:p w14:paraId="0B3E3A46"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0＜指标值＜1</w:t>
            </w:r>
          </w:p>
        </w:tc>
        <w:tc>
          <w:tcPr>
            <w:tcW w:w="2334" w:type="dxa"/>
            <w:tcBorders>
              <w:top w:val="single" w:sz="8" w:space="0" w:color="auto"/>
            </w:tcBorders>
          </w:tcPr>
          <w:p w14:paraId="6D4E3E1C"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≥1</w:t>
            </w:r>
          </w:p>
        </w:tc>
      </w:tr>
      <w:tr w:rsidR="00BA301C" w14:paraId="5CBA05F5" w14:textId="77777777">
        <w:trPr>
          <w:jc w:val="center"/>
        </w:trPr>
        <w:tc>
          <w:tcPr>
            <w:tcW w:w="2334" w:type="dxa"/>
          </w:tcPr>
          <w:p w14:paraId="5129E42D"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新机组</w:t>
            </w:r>
          </w:p>
        </w:tc>
        <w:tc>
          <w:tcPr>
            <w:tcW w:w="2333" w:type="dxa"/>
          </w:tcPr>
          <w:p w14:paraId="4F237CF8"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w:t>
            </w:r>
          </w:p>
        </w:tc>
        <w:tc>
          <w:tcPr>
            <w:tcW w:w="2333" w:type="dxa"/>
          </w:tcPr>
          <w:p w14:paraId="1F7E2225"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0＜指标值＜2</w:t>
            </w:r>
          </w:p>
        </w:tc>
        <w:tc>
          <w:tcPr>
            <w:tcW w:w="2334" w:type="dxa"/>
          </w:tcPr>
          <w:p w14:paraId="44F09612" w14:textId="77777777" w:rsidR="00BA301C" w:rsidRDefault="00000000">
            <w:pPr>
              <w:pStyle w:val="afffffffff9"/>
              <w:spacing w:line="360" w:lineRule="auto"/>
              <w:rPr>
                <w:rFonts w:hAnsi="宋体" w:hint="eastAsia"/>
                <w:color w:val="000000" w:themeColor="text1"/>
              </w:rPr>
            </w:pPr>
            <w:r>
              <w:rPr>
                <w:rFonts w:hAnsi="宋体" w:hint="eastAsia"/>
                <w:color w:val="000000" w:themeColor="text1"/>
              </w:rPr>
              <w:t>≥2</w:t>
            </w:r>
          </w:p>
        </w:tc>
      </w:tr>
    </w:tbl>
    <w:p w14:paraId="6783648A" w14:textId="77777777" w:rsidR="00BA301C" w:rsidRDefault="00000000">
      <w:pPr>
        <w:pStyle w:val="aff4"/>
        <w:spacing w:before="120" w:after="120" w:line="360" w:lineRule="auto"/>
        <w:rPr>
          <w:color w:val="000000" w:themeColor="text1"/>
        </w:rPr>
      </w:pPr>
      <w:r>
        <w:rPr>
          <w:rFonts w:hint="eastAsia"/>
          <w:color w:val="000000" w:themeColor="text1"/>
        </w:rPr>
        <w:t>非计划降功率大于1</w:t>
      </w:r>
      <w:r>
        <w:rPr>
          <w:color w:val="000000" w:themeColor="text1"/>
        </w:rPr>
        <w:t>0%</w:t>
      </w:r>
      <w:r>
        <w:rPr>
          <w:rFonts w:hint="eastAsia"/>
          <w:color w:val="000000" w:themeColor="text1"/>
        </w:rPr>
        <w:t>次数</w:t>
      </w:r>
    </w:p>
    <w:p w14:paraId="36B4E87C"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定义：每月按机组统计，滚动12个月发生的降功率大于10%的事件次数。非计划降功率大于10%是指机组发生的未提前4周安排的反应堆功率非计划下降10%（不包括非计划手动、自动停堆，但包括停机）</w:t>
      </w:r>
    </w:p>
    <w:p w14:paraId="5547BB88"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数据项：每月以机组为单位统计非计划降功率大于10%（不包括非计划手动、自动停堆，包括停机）的次数、12个月滚动非计划降功率大于10%次数。</w:t>
      </w:r>
    </w:p>
    <w:p w14:paraId="3BF22C1E" w14:textId="77777777" w:rsidR="00BA301C" w:rsidRDefault="00000000">
      <w:pPr>
        <w:pStyle w:val="afffff5"/>
        <w:spacing w:line="360" w:lineRule="auto"/>
        <w:ind w:firstLine="420"/>
        <w:rPr>
          <w:color w:val="000000" w:themeColor="text1"/>
        </w:rPr>
      </w:pPr>
      <w:r>
        <w:rPr>
          <w:rFonts w:hint="eastAsia"/>
          <w:color w:val="000000" w:themeColor="text1"/>
        </w:rPr>
        <w:t>计算方法：记录12个月内发生非计划降功率大于10%（不包括非计划手动、自动停堆）的次数。</w:t>
      </w:r>
    </w:p>
    <w:p w14:paraId="54936153"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指标状态判定准则：适用12月滚动累计值。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7B61DDFD" w14:textId="77777777">
        <w:trPr>
          <w:tblHeader/>
          <w:jc w:val="center"/>
        </w:trPr>
        <w:tc>
          <w:tcPr>
            <w:tcW w:w="3110" w:type="dxa"/>
            <w:tcBorders>
              <w:top w:val="single" w:sz="8" w:space="0" w:color="auto"/>
              <w:bottom w:val="single" w:sz="8" w:space="0" w:color="auto"/>
            </w:tcBorders>
          </w:tcPr>
          <w:p w14:paraId="3509929B"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4B4A1BE6"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751D2D5A"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3573EF4A" w14:textId="77777777">
        <w:trPr>
          <w:jc w:val="center"/>
        </w:trPr>
        <w:tc>
          <w:tcPr>
            <w:tcW w:w="3110" w:type="dxa"/>
            <w:tcBorders>
              <w:top w:val="single" w:sz="8" w:space="0" w:color="auto"/>
            </w:tcBorders>
          </w:tcPr>
          <w:p w14:paraId="748E1C55" w14:textId="77777777" w:rsidR="00BA301C" w:rsidRDefault="00000000">
            <w:pPr>
              <w:pStyle w:val="afffffffff9"/>
              <w:spacing w:line="360" w:lineRule="auto"/>
              <w:rPr>
                <w:color w:val="000000" w:themeColor="text1"/>
                <w:szCs w:val="18"/>
              </w:rPr>
            </w:pPr>
            <w:r>
              <w:rPr>
                <w:rFonts w:hAnsi="宋体" w:hint="eastAsia"/>
                <w:color w:val="000000" w:themeColor="text1"/>
                <w:szCs w:val="18"/>
              </w:rPr>
              <w:t>＜2</w:t>
            </w:r>
          </w:p>
        </w:tc>
        <w:tc>
          <w:tcPr>
            <w:tcW w:w="3112" w:type="dxa"/>
            <w:tcBorders>
              <w:top w:val="single" w:sz="8" w:space="0" w:color="auto"/>
            </w:tcBorders>
          </w:tcPr>
          <w:p w14:paraId="0AE1D89A" w14:textId="77777777" w:rsidR="00BA301C" w:rsidRDefault="00000000">
            <w:pPr>
              <w:pStyle w:val="afffffffff9"/>
              <w:spacing w:line="360" w:lineRule="auto"/>
              <w:rPr>
                <w:color w:val="000000" w:themeColor="text1"/>
                <w:szCs w:val="18"/>
              </w:rPr>
            </w:pPr>
            <w:r>
              <w:rPr>
                <w:rFonts w:hAnsi="宋体" w:hint="eastAsia"/>
                <w:color w:val="000000" w:themeColor="text1"/>
                <w:szCs w:val="18"/>
              </w:rPr>
              <w:t>4＞指标值≥2</w:t>
            </w:r>
          </w:p>
        </w:tc>
        <w:tc>
          <w:tcPr>
            <w:tcW w:w="3112" w:type="dxa"/>
            <w:tcBorders>
              <w:top w:val="single" w:sz="8" w:space="0" w:color="auto"/>
            </w:tcBorders>
          </w:tcPr>
          <w:p w14:paraId="153F38D5" w14:textId="77777777" w:rsidR="00BA301C" w:rsidRDefault="00000000">
            <w:pPr>
              <w:pStyle w:val="afffffffff9"/>
              <w:spacing w:line="360" w:lineRule="auto"/>
              <w:rPr>
                <w:color w:val="000000" w:themeColor="text1"/>
                <w:szCs w:val="18"/>
              </w:rPr>
            </w:pPr>
            <w:r>
              <w:rPr>
                <w:rFonts w:hAnsi="宋体" w:hint="eastAsia"/>
                <w:color w:val="000000" w:themeColor="text1"/>
                <w:szCs w:val="18"/>
              </w:rPr>
              <w:t>≥4</w:t>
            </w:r>
          </w:p>
        </w:tc>
      </w:tr>
    </w:tbl>
    <w:p w14:paraId="3BAFAE4B" w14:textId="77777777" w:rsidR="00BA301C" w:rsidRDefault="00000000">
      <w:pPr>
        <w:pStyle w:val="aff4"/>
        <w:spacing w:before="120" w:after="120" w:line="360" w:lineRule="auto"/>
        <w:rPr>
          <w:color w:val="000000" w:themeColor="text1"/>
        </w:rPr>
      </w:pPr>
      <w:r>
        <w:rPr>
          <w:rFonts w:hint="eastAsia"/>
          <w:color w:val="000000" w:themeColor="text1"/>
        </w:rPr>
        <w:t>T/S相关定期试验一次合格率</w:t>
      </w:r>
    </w:p>
    <w:p w14:paraId="5DBE46DD" w14:textId="77777777" w:rsidR="00BA301C" w:rsidRDefault="00000000">
      <w:pPr>
        <w:pStyle w:val="afffff5"/>
        <w:spacing w:line="360" w:lineRule="auto"/>
        <w:ind w:firstLine="420"/>
        <w:rPr>
          <w:color w:val="000000" w:themeColor="text1"/>
        </w:rPr>
      </w:pPr>
      <w:r>
        <w:rPr>
          <w:rFonts w:hint="eastAsia"/>
          <w:color w:val="000000" w:themeColor="text1"/>
        </w:rPr>
        <w:t>定义：技术规格书（TS）要求的各类试验中，一次合格（试验结果符合验收准则）的试验项目与技术规格书要求的所有试验项目数之间的比值。</w:t>
      </w:r>
    </w:p>
    <w:p w14:paraId="67B18165"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t>
      </w:r>
      <w:r>
        <w:rPr>
          <w:color w:val="000000" w:themeColor="text1"/>
        </w:rPr>
        <w:t></w:t>
      </w:r>
      <w:r>
        <w:rPr>
          <w:rFonts w:hint="eastAsia"/>
          <w:color w:val="000000" w:themeColor="text1"/>
        </w:rPr>
        <w:t>当月已执行定期试验次数、当月非一次合格的定期试验次数。</w:t>
      </w:r>
    </w:p>
    <w:p w14:paraId="1FBDFC39"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color w:val="000000" w:themeColor="text1"/>
        </w:rPr>
        <w:t xml:space="preserve"> </w:t>
      </w:r>
    </w:p>
    <w:p w14:paraId="5681EC33" w14:textId="77777777" w:rsidR="00BA301C" w:rsidRDefault="00000000">
      <w:pPr>
        <w:pStyle w:val="afffff5"/>
        <w:spacing w:line="360" w:lineRule="auto"/>
        <w:ind w:firstLine="420"/>
        <w:rPr>
          <w:color w:val="000000" w:themeColor="text1"/>
        </w:rPr>
      </w:pPr>
      <m:oMathPara>
        <m:oMath>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当月已执行</m:t>
              </m:r>
              <m:r>
                <m:rPr>
                  <m:sty m:val="p"/>
                </m:rPr>
                <w:rPr>
                  <w:rFonts w:ascii="Cambria Math" w:hAnsi="Cambria Math"/>
                  <w:color w:val="000000" w:themeColor="text1"/>
                </w:rPr>
                <m:t>TS</m:t>
              </m:r>
              <m:r>
                <m:rPr>
                  <m:sty m:val="p"/>
                </m:rPr>
                <w:rPr>
                  <w:rFonts w:ascii="Cambria Math" w:hAnsi="Cambria Math" w:hint="eastAsia"/>
                  <w:color w:val="000000" w:themeColor="text1"/>
                </w:rPr>
                <m:t>试验次数</m:t>
              </m:r>
              <m:r>
                <m:rPr>
                  <m:sty m:val="p"/>
                </m:rPr>
                <w:rPr>
                  <w:rFonts w:ascii="Cambria Math" w:hAnsi="Cambria Math"/>
                  <w:color w:val="000000" w:themeColor="text1"/>
                </w:rPr>
                <m:t>-</m:t>
              </m:r>
              <m:r>
                <m:rPr>
                  <m:sty m:val="p"/>
                </m:rPr>
                <w:rPr>
                  <w:rFonts w:ascii="Cambria Math" w:hAnsi="Cambria Math" w:hint="eastAsia"/>
                  <w:color w:val="000000" w:themeColor="text1"/>
                </w:rPr>
                <m:t>当月非一次合格的</m:t>
              </m:r>
              <m:r>
                <m:rPr>
                  <m:sty m:val="p"/>
                </m:rPr>
                <w:rPr>
                  <w:rFonts w:ascii="Cambria Math" w:hAnsi="Cambria Math"/>
                  <w:color w:val="000000" w:themeColor="text1"/>
                </w:rPr>
                <m:t>TS</m:t>
              </m:r>
              <m:r>
                <m:rPr>
                  <m:sty m:val="p"/>
                </m:rPr>
                <w:rPr>
                  <w:rFonts w:ascii="Cambria Math" w:hAnsi="Cambria Math" w:hint="eastAsia"/>
                  <w:color w:val="000000" w:themeColor="text1"/>
                </w:rPr>
                <m:t>试验次数</m:t>
              </m:r>
            </m:num>
            <m:den>
              <m:r>
                <m:rPr>
                  <m:sty m:val="p"/>
                </m:rPr>
                <w:rPr>
                  <w:rFonts w:ascii="Cambria Math" w:hAnsi="Cambria Math" w:hint="eastAsia"/>
                  <w:color w:val="000000" w:themeColor="text1"/>
                </w:rPr>
                <m:t>当月已执行</m:t>
              </m:r>
              <m:r>
                <m:rPr>
                  <m:sty m:val="p"/>
                </m:rPr>
                <w:rPr>
                  <w:rFonts w:ascii="Cambria Math" w:hAnsi="Cambria Math"/>
                  <w:color w:val="000000" w:themeColor="text1"/>
                </w:rPr>
                <m:t>TS</m:t>
              </m:r>
              <m:r>
                <m:rPr>
                  <m:sty m:val="p"/>
                </m:rPr>
                <w:rPr>
                  <w:rFonts w:ascii="Cambria Math" w:hAnsi="Cambria Math" w:hint="eastAsia"/>
                  <w:color w:val="000000" w:themeColor="text1"/>
                </w:rPr>
                <m:t>试验次数</m:t>
              </m:r>
            </m:den>
          </m:f>
          <m:r>
            <m:rPr>
              <m:sty m:val="p"/>
            </m:rPr>
            <w:rPr>
              <w:rFonts w:ascii="Cambria Math" w:hAnsi="Cambria Math"/>
              <w:color w:val="000000" w:themeColor="text1"/>
            </w:rPr>
            <m:t>×100%</m:t>
          </m:r>
        </m:oMath>
      </m:oMathPara>
    </w:p>
    <w:p w14:paraId="514F4408"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r>
        <w:rPr>
          <w:color w:val="000000" w:themeColor="text1"/>
        </w:rPr>
        <w:t xml:space="preserve"> </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044B4E0B" w14:textId="77777777">
        <w:trPr>
          <w:tblHeader/>
          <w:jc w:val="center"/>
        </w:trPr>
        <w:tc>
          <w:tcPr>
            <w:tcW w:w="3110" w:type="dxa"/>
            <w:tcBorders>
              <w:top w:val="single" w:sz="8" w:space="0" w:color="auto"/>
              <w:bottom w:val="single" w:sz="8" w:space="0" w:color="auto"/>
            </w:tcBorders>
          </w:tcPr>
          <w:p w14:paraId="68F1C923"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1EBE2294"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7F413997"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5D9B9576" w14:textId="77777777">
        <w:trPr>
          <w:jc w:val="center"/>
        </w:trPr>
        <w:tc>
          <w:tcPr>
            <w:tcW w:w="3110" w:type="dxa"/>
            <w:tcBorders>
              <w:top w:val="single" w:sz="8" w:space="0" w:color="auto"/>
            </w:tcBorders>
          </w:tcPr>
          <w:p w14:paraId="57FDBCF5" w14:textId="77777777" w:rsidR="00BA301C" w:rsidRDefault="00000000">
            <w:pPr>
              <w:pStyle w:val="afffffffff9"/>
              <w:spacing w:line="360" w:lineRule="auto"/>
              <w:rPr>
                <w:color w:val="000000" w:themeColor="text1"/>
                <w:szCs w:val="18"/>
              </w:rPr>
            </w:pPr>
            <w:r>
              <w:rPr>
                <w:rFonts w:hAnsi="宋体" w:hint="eastAsia"/>
                <w:color w:val="000000" w:themeColor="text1"/>
                <w:szCs w:val="18"/>
              </w:rPr>
              <w:t>当月值≥95%</w:t>
            </w:r>
          </w:p>
        </w:tc>
        <w:tc>
          <w:tcPr>
            <w:tcW w:w="3112" w:type="dxa"/>
            <w:tcBorders>
              <w:top w:val="single" w:sz="8" w:space="0" w:color="auto"/>
            </w:tcBorders>
          </w:tcPr>
          <w:p w14:paraId="3C46EF5A" w14:textId="77777777" w:rsidR="00BA301C" w:rsidRDefault="00000000">
            <w:pPr>
              <w:pStyle w:val="afffffffff9"/>
              <w:spacing w:line="360" w:lineRule="auto"/>
              <w:rPr>
                <w:color w:val="000000" w:themeColor="text1"/>
                <w:szCs w:val="18"/>
              </w:rPr>
            </w:pPr>
            <w:r>
              <w:rPr>
                <w:rFonts w:hAnsi="宋体" w:hint="eastAsia"/>
                <w:color w:val="000000" w:themeColor="text1"/>
                <w:szCs w:val="18"/>
              </w:rPr>
              <w:t>95%＞指标值＞90%</w:t>
            </w:r>
          </w:p>
        </w:tc>
        <w:tc>
          <w:tcPr>
            <w:tcW w:w="3112" w:type="dxa"/>
            <w:tcBorders>
              <w:top w:val="single" w:sz="8" w:space="0" w:color="auto"/>
            </w:tcBorders>
          </w:tcPr>
          <w:p w14:paraId="08591C33" w14:textId="77777777" w:rsidR="00BA301C" w:rsidRDefault="00000000">
            <w:pPr>
              <w:pStyle w:val="afffffffff9"/>
              <w:spacing w:line="360" w:lineRule="auto"/>
              <w:rPr>
                <w:color w:val="000000" w:themeColor="text1"/>
                <w:szCs w:val="18"/>
              </w:rPr>
            </w:pPr>
            <w:r>
              <w:rPr>
                <w:rFonts w:hAnsi="宋体" w:hint="eastAsia"/>
                <w:color w:val="000000" w:themeColor="text1"/>
                <w:szCs w:val="18"/>
              </w:rPr>
              <w:t>当月值≤90%</w:t>
            </w:r>
          </w:p>
        </w:tc>
      </w:tr>
    </w:tbl>
    <w:p w14:paraId="34C1ADE7" w14:textId="77777777" w:rsidR="00BA301C" w:rsidRDefault="00000000">
      <w:pPr>
        <w:pStyle w:val="aff4"/>
        <w:spacing w:before="120" w:after="120" w:line="360" w:lineRule="auto"/>
        <w:rPr>
          <w:color w:val="000000" w:themeColor="text1"/>
        </w:rPr>
      </w:pPr>
      <w:r>
        <w:rPr>
          <w:rFonts w:hint="eastAsia"/>
          <w:color w:val="000000" w:themeColor="text1"/>
        </w:rPr>
        <w:t>因缺陷进入技术规格书限制</w:t>
      </w:r>
    </w:p>
    <w:p w14:paraId="05394F30"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定义：每月按机组统计，因缺陷发生的安全重要物项</w:t>
      </w:r>
      <w:proofErr w:type="gramStart"/>
      <w:r>
        <w:rPr>
          <w:rFonts w:hint="eastAsia"/>
          <w:color w:val="000000" w:themeColor="text1"/>
        </w:rPr>
        <w:t>不</w:t>
      </w:r>
      <w:proofErr w:type="gramEnd"/>
      <w:r>
        <w:rPr>
          <w:rFonts w:hint="eastAsia"/>
          <w:color w:val="000000" w:themeColor="text1"/>
        </w:rPr>
        <w:t>可用或安全重要参数偏离，并不满足当前运行模式下技术规格书规定（有停机停</w:t>
      </w:r>
      <w:proofErr w:type="gramStart"/>
      <w:r>
        <w:rPr>
          <w:rFonts w:hint="eastAsia"/>
          <w:color w:val="000000" w:themeColor="text1"/>
        </w:rPr>
        <w:t>堆限制</w:t>
      </w:r>
      <w:proofErr w:type="gramEnd"/>
      <w:r>
        <w:rPr>
          <w:rFonts w:hint="eastAsia"/>
          <w:color w:val="000000" w:themeColor="text1"/>
        </w:rPr>
        <w:t>要求，且不大于72小时）的运行限值和条件。由其它原因进入的情况不列入其中：如人因导致的进入，或设备预防性维修以及预测性维修而有计划地进入，因保守决策而进入但实际设备无缺陷。以机组为单位进行统计。若因公用系统设备缺陷引起双机组或多机组进入，则每台机组都要计入。</w:t>
      </w:r>
    </w:p>
    <w:p w14:paraId="029F96DE"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数据项：每月以机组为单位统计因缺陷进入运行限值和条件的次数。</w:t>
      </w:r>
    </w:p>
    <w:p w14:paraId="3F6B7F7E" w14:textId="77777777" w:rsidR="00BA301C" w:rsidRDefault="00000000">
      <w:pPr>
        <w:pStyle w:val="afffff5"/>
        <w:spacing w:line="360" w:lineRule="auto"/>
        <w:ind w:firstLine="420"/>
        <w:rPr>
          <w:color w:val="000000" w:themeColor="text1"/>
        </w:rPr>
      </w:pPr>
      <w:r>
        <w:rPr>
          <w:rFonts w:hint="eastAsia"/>
          <w:color w:val="000000" w:themeColor="text1"/>
        </w:rPr>
        <w:lastRenderedPageBreak/>
        <w:t>计算方法：记录机组月度因缺陷进入运行限值和条件的次数。（大修期间的不作统计）。</w:t>
      </w:r>
    </w:p>
    <w:p w14:paraId="1A06CB23"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6CAAA2F" w14:textId="77777777">
        <w:trPr>
          <w:tblHeader/>
          <w:jc w:val="center"/>
        </w:trPr>
        <w:tc>
          <w:tcPr>
            <w:tcW w:w="3110" w:type="dxa"/>
            <w:tcBorders>
              <w:top w:val="single" w:sz="8" w:space="0" w:color="auto"/>
              <w:bottom w:val="single" w:sz="8" w:space="0" w:color="auto"/>
            </w:tcBorders>
          </w:tcPr>
          <w:p w14:paraId="11ABB756"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03A52BDF"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7290C461"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4BD1D986" w14:textId="77777777">
        <w:trPr>
          <w:jc w:val="center"/>
        </w:trPr>
        <w:tc>
          <w:tcPr>
            <w:tcW w:w="3110" w:type="dxa"/>
            <w:tcBorders>
              <w:top w:val="single" w:sz="8" w:space="0" w:color="auto"/>
            </w:tcBorders>
          </w:tcPr>
          <w:p w14:paraId="17EFAB1D"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指标值＜4</w:t>
            </w:r>
          </w:p>
        </w:tc>
        <w:tc>
          <w:tcPr>
            <w:tcW w:w="3112" w:type="dxa"/>
            <w:tcBorders>
              <w:top w:val="single" w:sz="8" w:space="0" w:color="auto"/>
            </w:tcBorders>
          </w:tcPr>
          <w:p w14:paraId="60842970" w14:textId="77777777" w:rsidR="00BA301C" w:rsidRDefault="00000000">
            <w:pPr>
              <w:pStyle w:val="afffffffff9"/>
              <w:spacing w:line="360" w:lineRule="auto"/>
              <w:rPr>
                <w:color w:val="000000" w:themeColor="text1"/>
                <w:szCs w:val="18"/>
              </w:rPr>
            </w:pPr>
            <w:r>
              <w:rPr>
                <w:rFonts w:hAnsi="宋体" w:hint="eastAsia"/>
                <w:color w:val="000000" w:themeColor="text1"/>
                <w:szCs w:val="18"/>
              </w:rPr>
              <w:t>4≤指标值≤7</w:t>
            </w:r>
          </w:p>
        </w:tc>
        <w:tc>
          <w:tcPr>
            <w:tcW w:w="3112" w:type="dxa"/>
            <w:tcBorders>
              <w:top w:val="single" w:sz="8" w:space="0" w:color="auto"/>
            </w:tcBorders>
          </w:tcPr>
          <w:p w14:paraId="4936867A"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指标值＞7</w:t>
            </w:r>
          </w:p>
        </w:tc>
      </w:tr>
    </w:tbl>
    <w:p w14:paraId="4C92D666" w14:textId="77777777" w:rsidR="00BA301C" w:rsidRDefault="00000000">
      <w:pPr>
        <w:pStyle w:val="aff4"/>
        <w:spacing w:before="120" w:after="120" w:line="360" w:lineRule="auto"/>
        <w:rPr>
          <w:color w:val="000000" w:themeColor="text1"/>
        </w:rPr>
      </w:pPr>
      <w:r>
        <w:rPr>
          <w:rFonts w:hint="eastAsia"/>
          <w:color w:val="000000" w:themeColor="text1"/>
        </w:rPr>
        <w:t>临时运行规程数量</w:t>
      </w:r>
    </w:p>
    <w:p w14:paraId="3837F666" w14:textId="77777777" w:rsidR="00BA301C" w:rsidRDefault="00000000">
      <w:pPr>
        <w:pStyle w:val="afffff5"/>
        <w:spacing w:line="360" w:lineRule="auto"/>
        <w:ind w:firstLine="420"/>
        <w:rPr>
          <w:color w:val="000000" w:themeColor="text1"/>
        </w:rPr>
      </w:pPr>
      <w:r>
        <w:rPr>
          <w:rFonts w:hint="eastAsia"/>
          <w:color w:val="000000" w:themeColor="text1"/>
        </w:rPr>
        <w:t>定义：给定时间内机组正在使用的临时运行规程总数。</w:t>
      </w:r>
    </w:p>
    <w:p w14:paraId="55F47DBF" w14:textId="77777777" w:rsidR="00BA301C" w:rsidRDefault="00000000">
      <w:pPr>
        <w:pStyle w:val="afffff5"/>
        <w:spacing w:line="360" w:lineRule="auto"/>
        <w:ind w:firstLine="420"/>
        <w:rPr>
          <w:color w:val="000000" w:themeColor="text1"/>
        </w:rPr>
      </w:pPr>
      <w:r>
        <w:rPr>
          <w:rFonts w:hint="eastAsia"/>
          <w:color w:val="000000" w:themeColor="text1"/>
        </w:rPr>
        <w:t>数据项：以机组为单位每月统计正在使用的临时运行规程总数。</w:t>
      </w:r>
    </w:p>
    <w:p w14:paraId="1F88E84C" w14:textId="77777777" w:rsidR="00BA301C" w:rsidRDefault="00000000">
      <w:pPr>
        <w:pStyle w:val="afffff5"/>
        <w:spacing w:line="360" w:lineRule="auto"/>
        <w:ind w:firstLine="420"/>
        <w:rPr>
          <w:color w:val="000000" w:themeColor="text1"/>
        </w:rPr>
      </w:pPr>
      <w:r>
        <w:rPr>
          <w:rFonts w:hint="eastAsia"/>
          <w:color w:val="000000" w:themeColor="text1"/>
        </w:rPr>
        <w:t>计算方法：以机组为单位每月统计正在使用的临时运行规程总数。</w:t>
      </w:r>
    </w:p>
    <w:p w14:paraId="62447244"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指标状态判定准则：适用三个月滚动累计值的判定。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7B0207FD" w14:textId="77777777">
        <w:trPr>
          <w:tblHeader/>
          <w:jc w:val="center"/>
        </w:trPr>
        <w:tc>
          <w:tcPr>
            <w:tcW w:w="3110" w:type="dxa"/>
            <w:tcBorders>
              <w:top w:val="single" w:sz="8" w:space="0" w:color="auto"/>
              <w:bottom w:val="single" w:sz="8" w:space="0" w:color="auto"/>
            </w:tcBorders>
          </w:tcPr>
          <w:p w14:paraId="76E07F8E"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1D8A5729"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5F3E7B03"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377D9A4D" w14:textId="77777777">
        <w:trPr>
          <w:jc w:val="center"/>
        </w:trPr>
        <w:tc>
          <w:tcPr>
            <w:tcW w:w="3110" w:type="dxa"/>
            <w:tcBorders>
              <w:top w:val="single" w:sz="8" w:space="0" w:color="auto"/>
            </w:tcBorders>
          </w:tcPr>
          <w:p w14:paraId="17F97650"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指标值＜10</w:t>
            </w:r>
          </w:p>
        </w:tc>
        <w:tc>
          <w:tcPr>
            <w:tcW w:w="3112" w:type="dxa"/>
            <w:tcBorders>
              <w:top w:val="single" w:sz="8" w:space="0" w:color="auto"/>
            </w:tcBorders>
          </w:tcPr>
          <w:p w14:paraId="583CA936" w14:textId="77777777" w:rsidR="00BA301C" w:rsidRDefault="00000000">
            <w:pPr>
              <w:pStyle w:val="afffffffff9"/>
              <w:spacing w:line="360" w:lineRule="auto"/>
              <w:rPr>
                <w:color w:val="000000" w:themeColor="text1"/>
                <w:szCs w:val="18"/>
              </w:rPr>
            </w:pPr>
            <w:r>
              <w:rPr>
                <w:rFonts w:hAnsi="宋体" w:hint="eastAsia"/>
                <w:color w:val="000000" w:themeColor="text1"/>
                <w:szCs w:val="18"/>
              </w:rPr>
              <w:t>30≥指标值≥10</w:t>
            </w:r>
          </w:p>
        </w:tc>
        <w:tc>
          <w:tcPr>
            <w:tcW w:w="3112" w:type="dxa"/>
            <w:tcBorders>
              <w:top w:val="single" w:sz="8" w:space="0" w:color="auto"/>
            </w:tcBorders>
          </w:tcPr>
          <w:p w14:paraId="2A3467C4"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指标值＞30</w:t>
            </w:r>
          </w:p>
        </w:tc>
      </w:tr>
    </w:tbl>
    <w:p w14:paraId="68955C7A" w14:textId="77777777" w:rsidR="00BA301C" w:rsidRDefault="00000000">
      <w:pPr>
        <w:pStyle w:val="aff4"/>
        <w:spacing w:before="120" w:after="120" w:line="360" w:lineRule="auto"/>
        <w:rPr>
          <w:color w:val="000000" w:themeColor="text1"/>
        </w:rPr>
      </w:pPr>
      <w:r>
        <w:rPr>
          <w:rFonts w:hint="eastAsia"/>
          <w:color w:val="000000" w:themeColor="text1"/>
        </w:rPr>
        <w:t>隔离和挂牌事件</w:t>
      </w:r>
    </w:p>
    <w:p w14:paraId="4509B2B9"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定义:每月按机组统计，滚动三个月内与隔离和挂牌问题相关的LOE/IOE事件数量。</w:t>
      </w:r>
    </w:p>
    <w:p w14:paraId="201A4D75" w14:textId="77777777" w:rsidR="00BA301C" w:rsidRDefault="00000000">
      <w:pPr>
        <w:pStyle w:val="afffff5"/>
        <w:spacing w:line="360" w:lineRule="auto"/>
        <w:ind w:firstLine="420"/>
        <w:rPr>
          <w:color w:val="000000" w:themeColor="text1"/>
        </w:rPr>
      </w:pPr>
      <w:r>
        <w:rPr>
          <w:rFonts w:hint="eastAsia"/>
          <w:color w:val="000000" w:themeColor="text1"/>
        </w:rPr>
        <w:t>数据项：以机组为单位统计滚动三个月内与隔离和挂牌问题相关的</w:t>
      </w:r>
      <w:r>
        <w:rPr>
          <w:color w:val="000000" w:themeColor="text1"/>
        </w:rPr>
        <w:t>LOE/IOE</w:t>
      </w:r>
      <w:r>
        <w:rPr>
          <w:rFonts w:hint="eastAsia"/>
          <w:color w:val="000000" w:themeColor="text1"/>
        </w:rPr>
        <w:t>事件。</w:t>
      </w:r>
    </w:p>
    <w:p w14:paraId="2C1A4AB6" w14:textId="77777777" w:rsidR="00BA301C" w:rsidRDefault="00000000">
      <w:pPr>
        <w:pStyle w:val="afffff5"/>
        <w:spacing w:line="360" w:lineRule="auto"/>
        <w:ind w:firstLine="420"/>
        <w:rPr>
          <w:color w:val="000000" w:themeColor="text1"/>
        </w:rPr>
      </w:pPr>
      <w:r>
        <w:rPr>
          <w:rFonts w:hint="eastAsia"/>
          <w:color w:val="000000" w:themeColor="text1"/>
        </w:rPr>
        <w:t>计算方法：以机组为单位统计滚动三个月内与隔离和挂牌相关的LOE/IOE事件。</w:t>
      </w:r>
    </w:p>
    <w:p w14:paraId="07B0ED5B"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指标状态判定准则：适用三个月滚动累计值的判定。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1F9203F" w14:textId="77777777">
        <w:trPr>
          <w:tblHeader/>
          <w:jc w:val="center"/>
        </w:trPr>
        <w:tc>
          <w:tcPr>
            <w:tcW w:w="3110" w:type="dxa"/>
            <w:tcBorders>
              <w:top w:val="single" w:sz="8" w:space="0" w:color="auto"/>
              <w:bottom w:val="single" w:sz="8" w:space="0" w:color="auto"/>
            </w:tcBorders>
          </w:tcPr>
          <w:p w14:paraId="298E693E"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5768374E"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541E85A0"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4B65DD1A" w14:textId="77777777">
        <w:trPr>
          <w:jc w:val="center"/>
        </w:trPr>
        <w:tc>
          <w:tcPr>
            <w:tcW w:w="3110" w:type="dxa"/>
            <w:tcBorders>
              <w:top w:val="single" w:sz="8" w:space="0" w:color="auto"/>
            </w:tcBorders>
          </w:tcPr>
          <w:p w14:paraId="3D56D18D" w14:textId="77777777" w:rsidR="00BA301C" w:rsidRDefault="00000000">
            <w:pPr>
              <w:pStyle w:val="afffffffff9"/>
              <w:spacing w:line="360" w:lineRule="auto"/>
              <w:rPr>
                <w:color w:val="000000" w:themeColor="text1"/>
                <w:szCs w:val="18"/>
              </w:rPr>
            </w:pPr>
            <w:proofErr w:type="gramStart"/>
            <w:r>
              <w:rPr>
                <w:rFonts w:hAnsi="宋体" w:hint="eastAsia"/>
                <w:color w:val="000000" w:themeColor="text1"/>
                <w:szCs w:val="18"/>
              </w:rPr>
              <w:t>月度值</w:t>
            </w:r>
            <w:proofErr w:type="gramEnd"/>
            <w:r>
              <w:rPr>
                <w:rFonts w:hAnsi="宋体" w:hint="eastAsia"/>
                <w:color w:val="000000" w:themeColor="text1"/>
                <w:szCs w:val="18"/>
              </w:rPr>
              <w:t>0</w:t>
            </w:r>
          </w:p>
        </w:tc>
        <w:tc>
          <w:tcPr>
            <w:tcW w:w="3112" w:type="dxa"/>
            <w:tcBorders>
              <w:top w:val="single" w:sz="8" w:space="0" w:color="auto"/>
            </w:tcBorders>
          </w:tcPr>
          <w:p w14:paraId="46B1DEB2" w14:textId="77777777" w:rsidR="00BA301C" w:rsidRDefault="00000000">
            <w:pPr>
              <w:pStyle w:val="afffffffff9"/>
              <w:spacing w:line="360" w:lineRule="auto"/>
              <w:rPr>
                <w:color w:val="000000" w:themeColor="text1"/>
                <w:szCs w:val="18"/>
              </w:rPr>
            </w:pPr>
            <w:r>
              <w:rPr>
                <w:rFonts w:hAnsi="宋体" w:hint="eastAsia"/>
                <w:color w:val="000000" w:themeColor="text1"/>
                <w:szCs w:val="18"/>
              </w:rPr>
              <w:t>3月滚动累计值≥1</w:t>
            </w:r>
          </w:p>
        </w:tc>
        <w:tc>
          <w:tcPr>
            <w:tcW w:w="3112" w:type="dxa"/>
            <w:tcBorders>
              <w:top w:val="single" w:sz="8" w:space="0" w:color="auto"/>
            </w:tcBorders>
          </w:tcPr>
          <w:p w14:paraId="30B92FA7" w14:textId="77777777" w:rsidR="00BA301C" w:rsidRDefault="00000000">
            <w:pPr>
              <w:pStyle w:val="afffffffff9"/>
              <w:spacing w:line="360" w:lineRule="auto"/>
              <w:rPr>
                <w:color w:val="000000" w:themeColor="text1"/>
                <w:szCs w:val="18"/>
              </w:rPr>
            </w:pPr>
            <w:proofErr w:type="gramStart"/>
            <w:r>
              <w:rPr>
                <w:rFonts w:hAnsi="宋体" w:hint="eastAsia"/>
                <w:color w:val="000000" w:themeColor="text1"/>
                <w:szCs w:val="18"/>
              </w:rPr>
              <w:t>月度值</w:t>
            </w:r>
            <w:proofErr w:type="gramEnd"/>
            <w:r>
              <w:rPr>
                <w:rFonts w:hAnsi="宋体" w:hint="eastAsia"/>
                <w:color w:val="000000" w:themeColor="text1"/>
                <w:szCs w:val="18"/>
              </w:rPr>
              <w:t>≥1</w:t>
            </w:r>
          </w:p>
        </w:tc>
      </w:tr>
    </w:tbl>
    <w:p w14:paraId="1DE01A92" w14:textId="77777777" w:rsidR="00BA301C" w:rsidRDefault="00000000">
      <w:pPr>
        <w:pStyle w:val="aff4"/>
        <w:spacing w:before="120" w:after="120" w:line="360" w:lineRule="auto"/>
        <w:rPr>
          <w:color w:val="000000" w:themeColor="text1"/>
        </w:rPr>
      </w:pPr>
      <w:r>
        <w:rPr>
          <w:rFonts w:hint="eastAsia"/>
          <w:color w:val="000000" w:themeColor="text1"/>
        </w:rPr>
        <w:t>运行人员相关事件</w:t>
      </w:r>
    </w:p>
    <w:p w14:paraId="39680AA3"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定义：每月按机组统计，统计滚动三个月内，由运行人员人因失误造成的LOE/IOE事件数量。</w:t>
      </w:r>
    </w:p>
    <w:p w14:paraId="676CE083" w14:textId="77777777" w:rsidR="00BA301C" w:rsidRDefault="00000000">
      <w:pPr>
        <w:pStyle w:val="afffff5"/>
        <w:spacing w:line="360" w:lineRule="auto"/>
        <w:ind w:firstLine="420"/>
        <w:rPr>
          <w:color w:val="000000" w:themeColor="text1"/>
        </w:rPr>
      </w:pPr>
      <w:r>
        <w:rPr>
          <w:rFonts w:hint="eastAsia"/>
          <w:color w:val="000000" w:themeColor="text1"/>
        </w:rPr>
        <w:t>数据项：以机组为单位统计滚动三个月内由运行人因失误造成的LOE/IOE数量。</w:t>
      </w:r>
    </w:p>
    <w:p w14:paraId="56EDDE80" w14:textId="77777777" w:rsidR="00BA301C" w:rsidRDefault="00000000">
      <w:pPr>
        <w:pStyle w:val="afffff5"/>
        <w:spacing w:line="360" w:lineRule="auto"/>
        <w:ind w:firstLine="420"/>
        <w:rPr>
          <w:color w:val="000000" w:themeColor="text1"/>
        </w:rPr>
      </w:pPr>
      <w:r>
        <w:rPr>
          <w:rFonts w:hint="eastAsia"/>
          <w:color w:val="000000" w:themeColor="text1"/>
        </w:rPr>
        <w:t>计算方法：以机组为单位统计滚动三个月内由运行人因失误造成的</w:t>
      </w:r>
      <w:r>
        <w:rPr>
          <w:color w:val="000000" w:themeColor="text1"/>
        </w:rPr>
        <w:t>LOE/IOE</w:t>
      </w:r>
      <w:r>
        <w:rPr>
          <w:rFonts w:hint="eastAsia"/>
          <w:color w:val="000000" w:themeColor="text1"/>
        </w:rPr>
        <w:t>数量。</w:t>
      </w:r>
    </w:p>
    <w:p w14:paraId="7E7DB754"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指标状态判定准则：适用三个月滚动累计值的判定。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0C666CCA" w14:textId="77777777">
        <w:trPr>
          <w:tblHeader/>
          <w:jc w:val="center"/>
        </w:trPr>
        <w:tc>
          <w:tcPr>
            <w:tcW w:w="3110" w:type="dxa"/>
            <w:tcBorders>
              <w:top w:val="single" w:sz="8" w:space="0" w:color="auto"/>
              <w:bottom w:val="single" w:sz="8" w:space="0" w:color="auto"/>
            </w:tcBorders>
          </w:tcPr>
          <w:p w14:paraId="37EF01C2"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67234D36"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5055F35F"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0D230931" w14:textId="77777777">
        <w:trPr>
          <w:jc w:val="center"/>
        </w:trPr>
        <w:tc>
          <w:tcPr>
            <w:tcW w:w="3110" w:type="dxa"/>
            <w:tcBorders>
              <w:top w:val="single" w:sz="8" w:space="0" w:color="auto"/>
            </w:tcBorders>
          </w:tcPr>
          <w:p w14:paraId="50683CBA" w14:textId="77777777" w:rsidR="00BA301C" w:rsidRDefault="00000000">
            <w:pPr>
              <w:pStyle w:val="afffffffff9"/>
              <w:spacing w:line="360" w:lineRule="auto"/>
              <w:rPr>
                <w:color w:val="000000" w:themeColor="text1"/>
                <w:szCs w:val="18"/>
              </w:rPr>
            </w:pPr>
            <w:proofErr w:type="gramStart"/>
            <w:r>
              <w:rPr>
                <w:rFonts w:hAnsi="宋体" w:hint="eastAsia"/>
                <w:color w:val="000000" w:themeColor="text1"/>
                <w:szCs w:val="18"/>
              </w:rPr>
              <w:t>月度值</w:t>
            </w:r>
            <w:proofErr w:type="gramEnd"/>
            <w:r>
              <w:rPr>
                <w:rFonts w:hAnsi="宋体" w:hint="eastAsia"/>
                <w:color w:val="000000" w:themeColor="text1"/>
                <w:szCs w:val="18"/>
              </w:rPr>
              <w:t>0</w:t>
            </w:r>
          </w:p>
        </w:tc>
        <w:tc>
          <w:tcPr>
            <w:tcW w:w="3112" w:type="dxa"/>
            <w:tcBorders>
              <w:top w:val="single" w:sz="8" w:space="0" w:color="auto"/>
            </w:tcBorders>
          </w:tcPr>
          <w:p w14:paraId="49EE8004" w14:textId="77777777" w:rsidR="00BA301C" w:rsidRDefault="00000000">
            <w:pPr>
              <w:pStyle w:val="afffffffff9"/>
              <w:spacing w:line="360" w:lineRule="auto"/>
              <w:rPr>
                <w:color w:val="000000" w:themeColor="text1"/>
                <w:szCs w:val="18"/>
              </w:rPr>
            </w:pPr>
            <w:r>
              <w:rPr>
                <w:rFonts w:hAnsi="宋体" w:hint="eastAsia"/>
                <w:color w:val="000000" w:themeColor="text1"/>
                <w:szCs w:val="18"/>
              </w:rPr>
              <w:t>3月滚动累计值≥1</w:t>
            </w:r>
          </w:p>
        </w:tc>
        <w:tc>
          <w:tcPr>
            <w:tcW w:w="3112" w:type="dxa"/>
            <w:tcBorders>
              <w:top w:val="single" w:sz="8" w:space="0" w:color="auto"/>
            </w:tcBorders>
          </w:tcPr>
          <w:p w14:paraId="5DB1E820" w14:textId="77777777" w:rsidR="00BA301C" w:rsidRDefault="00000000">
            <w:pPr>
              <w:pStyle w:val="afffffffff9"/>
              <w:spacing w:line="360" w:lineRule="auto"/>
              <w:rPr>
                <w:color w:val="000000" w:themeColor="text1"/>
                <w:szCs w:val="18"/>
              </w:rPr>
            </w:pPr>
            <w:proofErr w:type="gramStart"/>
            <w:r>
              <w:rPr>
                <w:rFonts w:hAnsi="宋体" w:hint="eastAsia"/>
                <w:color w:val="000000" w:themeColor="text1"/>
                <w:szCs w:val="18"/>
              </w:rPr>
              <w:t>月度值</w:t>
            </w:r>
            <w:proofErr w:type="gramEnd"/>
            <w:r>
              <w:rPr>
                <w:rFonts w:hAnsi="宋体" w:hint="eastAsia"/>
                <w:color w:val="000000" w:themeColor="text1"/>
                <w:szCs w:val="18"/>
              </w:rPr>
              <w:t>≥1</w:t>
            </w:r>
          </w:p>
        </w:tc>
      </w:tr>
    </w:tbl>
    <w:p w14:paraId="1424500E" w14:textId="77777777" w:rsidR="00BA301C" w:rsidRDefault="00000000">
      <w:pPr>
        <w:pStyle w:val="aff4"/>
        <w:spacing w:before="120" w:after="120" w:line="360" w:lineRule="auto"/>
        <w:rPr>
          <w:color w:val="000000" w:themeColor="text1"/>
        </w:rPr>
      </w:pPr>
      <w:r>
        <w:rPr>
          <w:rFonts w:hint="eastAsia"/>
          <w:color w:val="000000" w:themeColor="text1"/>
        </w:rPr>
        <w:t>反应性管理指数</w:t>
      </w:r>
    </w:p>
    <w:p w14:paraId="501FE5DA" w14:textId="77777777" w:rsidR="00BA301C" w:rsidRDefault="00000000">
      <w:pPr>
        <w:pStyle w:val="afffff5"/>
        <w:spacing w:line="360" w:lineRule="auto"/>
        <w:ind w:firstLine="420"/>
        <w:rPr>
          <w:color w:val="000000" w:themeColor="text1"/>
        </w:rPr>
      </w:pPr>
      <w:r>
        <w:rPr>
          <w:rFonts w:hint="eastAsia"/>
          <w:color w:val="000000" w:themeColor="text1"/>
        </w:rPr>
        <w:t>定义：给定时期内发生的不同级别反应性管理事件数量经权重处理后计算得出的反映核电厂反应性管理水平的数值。每月按机组统计，反应性管理指数定义为根据一段时间内发生的不同级别反应性管理事件数量经权重处理后计算得出的反映电站反应性管理水平的数值。反应性管理事件根据其对电厂影响的程度不同，分为六个严重性级别（SL），包括严重反应性管理事件（L1）、</w:t>
      </w:r>
      <w:r>
        <w:rPr>
          <w:rFonts w:hAnsi="宋体" w:hint="eastAsia"/>
          <w:color w:val="000000" w:themeColor="text1"/>
        </w:rPr>
        <w:t>重要反应性管理事件</w:t>
      </w:r>
      <w:r>
        <w:rPr>
          <w:rFonts w:hAnsi="宋体" w:hint="eastAsia"/>
          <w:color w:val="000000" w:themeColor="text1"/>
        </w:rPr>
        <w:lastRenderedPageBreak/>
        <w:t>（L2）、轻微反应性管理事件（L3）、先兆反应性管理事件（L4）、反应性管理关注事件（L5）、绩效趋势跟踪事件（L6）。</w:t>
      </w:r>
    </w:p>
    <w:p w14:paraId="72C1C1F2"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数据项：每月以机组为单位报告</w:t>
      </w:r>
      <w:r>
        <w:rPr>
          <w:color w:val="000000" w:themeColor="text1"/>
        </w:rPr>
        <w:t>L1-L6</w:t>
      </w:r>
      <w:r>
        <w:rPr>
          <w:rFonts w:hint="eastAsia"/>
          <w:color w:val="000000" w:themeColor="text1"/>
        </w:rPr>
        <w:t>级别反应性管理事件数量的</w:t>
      </w:r>
      <w:r>
        <w:rPr>
          <w:color w:val="000000" w:themeColor="text1"/>
        </w:rPr>
        <w:t>12</w:t>
      </w:r>
      <w:r>
        <w:rPr>
          <w:rFonts w:hint="eastAsia"/>
          <w:color w:val="000000" w:themeColor="text1"/>
        </w:rPr>
        <w:t>月滚动值。</w:t>
      </w:r>
    </w:p>
    <w:p w14:paraId="0E3A5462" w14:textId="77777777" w:rsidR="00BA301C" w:rsidRDefault="00000000">
      <w:pPr>
        <w:pStyle w:val="afffff5"/>
        <w:spacing w:line="360" w:lineRule="auto"/>
        <w:ind w:firstLine="420"/>
        <w:rPr>
          <w:rFonts w:hAnsi="宋体" w:hint="eastAsia"/>
          <w:color w:val="000000" w:themeColor="text1"/>
        </w:rPr>
      </w:pPr>
      <w:r>
        <w:rPr>
          <w:rFonts w:hAnsi="宋体" w:hint="eastAsia"/>
          <w:color w:val="000000" w:themeColor="text1"/>
        </w:rPr>
        <w:t>计算方法：=100-0.5* [(20*L1)+(10*L2)+(2*L3)+(0.5*L4)+(0.1*L5)]，其中，Lx是X级别的反应性管理事件在滚动12个月周期内发生的次数。该指标的最高值是100，代表最优绩效。</w:t>
      </w:r>
    </w:p>
    <w:p w14:paraId="6EC3E3A1" w14:textId="77777777" w:rsidR="00BA301C" w:rsidRDefault="00000000">
      <w:pPr>
        <w:pStyle w:val="afffff5"/>
        <w:spacing w:line="360" w:lineRule="auto"/>
        <w:ind w:firstLine="420"/>
        <w:rPr>
          <w:color w:val="000000" w:themeColor="text1"/>
          <w:sz w:val="24"/>
          <w:szCs w:val="24"/>
        </w:rPr>
      </w:pPr>
      <w:r>
        <w:rPr>
          <w:rFonts w:hint="eastAsia"/>
          <w:color w:val="000000" w:themeColor="text1"/>
        </w:rPr>
        <w:t>指标状态判定准则：适用1</w:t>
      </w:r>
      <w:r>
        <w:rPr>
          <w:color w:val="000000" w:themeColor="text1"/>
        </w:rPr>
        <w:t>2</w:t>
      </w:r>
      <w:r>
        <w:rPr>
          <w:rFonts w:hint="eastAsia"/>
          <w:color w:val="000000" w:themeColor="text1"/>
        </w:rPr>
        <w:t>个月滚动累计值的判定。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7BD92EEB" w14:textId="77777777">
        <w:trPr>
          <w:tblHeader/>
          <w:jc w:val="center"/>
        </w:trPr>
        <w:tc>
          <w:tcPr>
            <w:tcW w:w="3110" w:type="dxa"/>
            <w:tcBorders>
              <w:top w:val="single" w:sz="8" w:space="0" w:color="auto"/>
              <w:bottom w:val="single" w:sz="8" w:space="0" w:color="auto"/>
            </w:tcBorders>
          </w:tcPr>
          <w:p w14:paraId="6C0081E2"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6A83B89B"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5A4DF5BD"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7A275A19" w14:textId="77777777">
        <w:trPr>
          <w:jc w:val="center"/>
        </w:trPr>
        <w:tc>
          <w:tcPr>
            <w:tcW w:w="3110" w:type="dxa"/>
            <w:tcBorders>
              <w:top w:val="single" w:sz="8" w:space="0" w:color="auto"/>
            </w:tcBorders>
          </w:tcPr>
          <w:p w14:paraId="55E9F6B7"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指标值=100</w:t>
            </w:r>
          </w:p>
        </w:tc>
        <w:tc>
          <w:tcPr>
            <w:tcW w:w="3112" w:type="dxa"/>
            <w:tcBorders>
              <w:top w:val="single" w:sz="8" w:space="0" w:color="auto"/>
            </w:tcBorders>
          </w:tcPr>
          <w:p w14:paraId="0BAAA260"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100＞指标值≥95</w:t>
            </w:r>
          </w:p>
        </w:tc>
        <w:tc>
          <w:tcPr>
            <w:tcW w:w="3112" w:type="dxa"/>
            <w:tcBorders>
              <w:top w:val="single" w:sz="8" w:space="0" w:color="auto"/>
            </w:tcBorders>
          </w:tcPr>
          <w:p w14:paraId="2C23F2D3"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指标值＜95</w:t>
            </w:r>
          </w:p>
        </w:tc>
      </w:tr>
    </w:tbl>
    <w:p w14:paraId="52B85BEE" w14:textId="77777777" w:rsidR="00BA301C" w:rsidRDefault="00000000">
      <w:pPr>
        <w:pStyle w:val="aff4"/>
        <w:spacing w:before="120" w:after="120" w:line="360" w:lineRule="auto"/>
        <w:rPr>
          <w:color w:val="000000" w:themeColor="text1"/>
        </w:rPr>
      </w:pPr>
      <w:r>
        <w:rPr>
          <w:rFonts w:hint="eastAsia"/>
          <w:color w:val="000000" w:themeColor="text1"/>
        </w:rPr>
        <w:t>待升</w:t>
      </w:r>
      <w:proofErr w:type="gramStart"/>
      <w:r>
        <w:rPr>
          <w:rFonts w:hint="eastAsia"/>
          <w:color w:val="000000" w:themeColor="text1"/>
        </w:rPr>
        <w:t>版运行</w:t>
      </w:r>
      <w:proofErr w:type="gramEnd"/>
      <w:r>
        <w:rPr>
          <w:rFonts w:hint="eastAsia"/>
          <w:color w:val="000000" w:themeColor="text1"/>
        </w:rPr>
        <w:t>规程</w:t>
      </w:r>
    </w:p>
    <w:p w14:paraId="05AB9434" w14:textId="77777777" w:rsidR="00BA301C" w:rsidRDefault="00000000">
      <w:pPr>
        <w:pStyle w:val="afffff5"/>
        <w:spacing w:line="360" w:lineRule="auto"/>
        <w:ind w:firstLine="420"/>
        <w:rPr>
          <w:color w:val="000000" w:themeColor="text1"/>
        </w:rPr>
      </w:pPr>
      <w:r>
        <w:rPr>
          <w:rFonts w:hint="eastAsia"/>
          <w:color w:val="000000" w:themeColor="text1"/>
        </w:rPr>
        <w:t>定义：给定时间内因技术原因在下次使用之前必须</w:t>
      </w:r>
      <w:proofErr w:type="gramStart"/>
      <w:r>
        <w:rPr>
          <w:rFonts w:hint="eastAsia"/>
          <w:color w:val="000000" w:themeColor="text1"/>
        </w:rPr>
        <w:t>完成升版的</w:t>
      </w:r>
      <w:proofErr w:type="gramEnd"/>
      <w:r>
        <w:rPr>
          <w:rFonts w:hint="eastAsia"/>
          <w:color w:val="000000" w:themeColor="text1"/>
        </w:rPr>
        <w:t>规程以及技术上正确但是需要</w:t>
      </w:r>
      <w:proofErr w:type="gramStart"/>
      <w:r>
        <w:rPr>
          <w:rFonts w:hint="eastAsia"/>
          <w:color w:val="000000" w:themeColor="text1"/>
        </w:rPr>
        <w:t>进行升版以</w:t>
      </w:r>
      <w:proofErr w:type="gramEnd"/>
      <w:r>
        <w:rPr>
          <w:rFonts w:hint="eastAsia"/>
          <w:color w:val="000000" w:themeColor="text1"/>
        </w:rPr>
        <w:t>提高使用效果的所有运行规程的数量。对于一份运行规程包含多处修改需求的情况，按照一份待升版规程进行指标计算。对于仅因为电厂技改/设计变更原因或技术规格书变更或者组织管理原因产生的规程</w:t>
      </w:r>
      <w:proofErr w:type="gramStart"/>
      <w:r>
        <w:rPr>
          <w:rFonts w:hint="eastAsia"/>
          <w:color w:val="000000" w:themeColor="text1"/>
        </w:rPr>
        <w:t>升版需求</w:t>
      </w:r>
      <w:proofErr w:type="gramEnd"/>
      <w:r>
        <w:rPr>
          <w:rFonts w:hint="eastAsia"/>
          <w:color w:val="000000" w:themeColor="text1"/>
        </w:rPr>
        <w:t>不计入该指标统计范围。</w:t>
      </w:r>
    </w:p>
    <w:p w14:paraId="22614118" w14:textId="77777777" w:rsidR="00BA301C" w:rsidRDefault="00000000">
      <w:pPr>
        <w:pStyle w:val="afffff5"/>
        <w:spacing w:line="360" w:lineRule="auto"/>
        <w:ind w:firstLine="420"/>
        <w:rPr>
          <w:color w:val="000000" w:themeColor="text1"/>
        </w:rPr>
      </w:pPr>
      <w:r>
        <w:rPr>
          <w:rFonts w:hint="eastAsia"/>
          <w:color w:val="000000" w:themeColor="text1"/>
        </w:rPr>
        <w:t>数据项：以机组为单位统计每月待升</w:t>
      </w:r>
      <w:proofErr w:type="gramStart"/>
      <w:r>
        <w:rPr>
          <w:rFonts w:hint="eastAsia"/>
          <w:color w:val="000000" w:themeColor="text1"/>
        </w:rPr>
        <w:t>版运行</w:t>
      </w:r>
      <w:proofErr w:type="gramEnd"/>
      <w:r>
        <w:rPr>
          <w:rFonts w:hint="eastAsia"/>
          <w:color w:val="000000" w:themeColor="text1"/>
        </w:rPr>
        <w:t>规程数量。</w:t>
      </w:r>
    </w:p>
    <w:p w14:paraId="080B0406" w14:textId="77777777" w:rsidR="00BA301C" w:rsidRDefault="00000000">
      <w:pPr>
        <w:pStyle w:val="afffff5"/>
        <w:spacing w:line="360" w:lineRule="auto"/>
        <w:ind w:firstLine="420"/>
        <w:rPr>
          <w:color w:val="000000" w:themeColor="text1"/>
        </w:rPr>
      </w:pPr>
      <w:r>
        <w:rPr>
          <w:rFonts w:hint="eastAsia"/>
          <w:color w:val="000000" w:themeColor="text1"/>
        </w:rPr>
        <w:t>计算方法：以机组为单位统计每月待升</w:t>
      </w:r>
      <w:proofErr w:type="gramStart"/>
      <w:r>
        <w:rPr>
          <w:rFonts w:hint="eastAsia"/>
          <w:color w:val="000000" w:themeColor="text1"/>
        </w:rPr>
        <w:t>版运行</w:t>
      </w:r>
      <w:proofErr w:type="gramEnd"/>
      <w:r>
        <w:rPr>
          <w:rFonts w:hint="eastAsia"/>
          <w:color w:val="000000" w:themeColor="text1"/>
        </w:rPr>
        <w:t>规程数量。</w:t>
      </w:r>
    </w:p>
    <w:p w14:paraId="29A6068A" w14:textId="77777777" w:rsidR="00BA301C" w:rsidRDefault="00000000">
      <w:pPr>
        <w:pStyle w:val="afffff5"/>
        <w:spacing w:line="360" w:lineRule="auto"/>
        <w:ind w:firstLine="420"/>
        <w:rPr>
          <w:color w:val="000000" w:themeColor="text1"/>
          <w:sz w:val="24"/>
          <w:szCs w:val="24"/>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705B256C" w14:textId="77777777">
        <w:trPr>
          <w:tblHeader/>
          <w:jc w:val="center"/>
        </w:trPr>
        <w:tc>
          <w:tcPr>
            <w:tcW w:w="2334" w:type="dxa"/>
            <w:tcBorders>
              <w:top w:val="single" w:sz="8" w:space="0" w:color="auto"/>
              <w:bottom w:val="single" w:sz="8" w:space="0" w:color="auto"/>
            </w:tcBorders>
          </w:tcPr>
          <w:p w14:paraId="6155A3FD" w14:textId="77777777" w:rsidR="00BA301C" w:rsidRDefault="00BA301C">
            <w:pPr>
              <w:pStyle w:val="afffffffff9"/>
              <w:spacing w:line="360" w:lineRule="auto"/>
              <w:rPr>
                <w:color w:val="000000" w:themeColor="text1"/>
                <w:sz w:val="15"/>
                <w:szCs w:val="15"/>
              </w:rPr>
            </w:pPr>
          </w:p>
        </w:tc>
        <w:tc>
          <w:tcPr>
            <w:tcW w:w="2333" w:type="dxa"/>
            <w:tcBorders>
              <w:top w:val="single" w:sz="8" w:space="0" w:color="auto"/>
              <w:bottom w:val="single" w:sz="8" w:space="0" w:color="auto"/>
            </w:tcBorders>
          </w:tcPr>
          <w:p w14:paraId="2D81022B"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绿灯</w:t>
            </w:r>
          </w:p>
        </w:tc>
        <w:tc>
          <w:tcPr>
            <w:tcW w:w="2333" w:type="dxa"/>
            <w:tcBorders>
              <w:top w:val="single" w:sz="8" w:space="0" w:color="auto"/>
              <w:bottom w:val="single" w:sz="8" w:space="0" w:color="auto"/>
            </w:tcBorders>
          </w:tcPr>
          <w:p w14:paraId="493CFC9E"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黄灯</w:t>
            </w:r>
          </w:p>
        </w:tc>
        <w:tc>
          <w:tcPr>
            <w:tcW w:w="2334" w:type="dxa"/>
            <w:tcBorders>
              <w:top w:val="single" w:sz="8" w:space="0" w:color="auto"/>
              <w:bottom w:val="single" w:sz="8" w:space="0" w:color="auto"/>
            </w:tcBorders>
          </w:tcPr>
          <w:p w14:paraId="43B420CD"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红灯</w:t>
            </w:r>
          </w:p>
        </w:tc>
      </w:tr>
      <w:tr w:rsidR="00BA301C" w14:paraId="2D465F75" w14:textId="77777777">
        <w:trPr>
          <w:jc w:val="center"/>
        </w:trPr>
        <w:tc>
          <w:tcPr>
            <w:tcW w:w="2334" w:type="dxa"/>
            <w:tcBorders>
              <w:top w:val="single" w:sz="8" w:space="0" w:color="auto"/>
              <w:bottom w:val="single" w:sz="8" w:space="0" w:color="auto"/>
            </w:tcBorders>
          </w:tcPr>
          <w:p w14:paraId="73B78EFA"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运行机组</w:t>
            </w:r>
          </w:p>
        </w:tc>
        <w:tc>
          <w:tcPr>
            <w:tcW w:w="2333" w:type="dxa"/>
            <w:tcBorders>
              <w:top w:val="single" w:sz="8" w:space="0" w:color="auto"/>
              <w:bottom w:val="single" w:sz="8" w:space="0" w:color="auto"/>
            </w:tcBorders>
          </w:tcPr>
          <w:p w14:paraId="63F4F8A4"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＜10</w:t>
            </w:r>
          </w:p>
        </w:tc>
        <w:tc>
          <w:tcPr>
            <w:tcW w:w="2333" w:type="dxa"/>
            <w:tcBorders>
              <w:top w:val="single" w:sz="8" w:space="0" w:color="auto"/>
              <w:bottom w:val="single" w:sz="8" w:space="0" w:color="auto"/>
            </w:tcBorders>
          </w:tcPr>
          <w:p w14:paraId="47F3941A"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30≥指标值≥10</w:t>
            </w:r>
          </w:p>
        </w:tc>
        <w:tc>
          <w:tcPr>
            <w:tcW w:w="2334" w:type="dxa"/>
            <w:tcBorders>
              <w:top w:val="single" w:sz="8" w:space="0" w:color="auto"/>
              <w:bottom w:val="single" w:sz="8" w:space="0" w:color="auto"/>
            </w:tcBorders>
          </w:tcPr>
          <w:p w14:paraId="66859231"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＞30</w:t>
            </w:r>
          </w:p>
        </w:tc>
      </w:tr>
      <w:tr w:rsidR="00BA301C" w14:paraId="25DCF301" w14:textId="77777777">
        <w:trPr>
          <w:jc w:val="center"/>
        </w:trPr>
        <w:tc>
          <w:tcPr>
            <w:tcW w:w="2334" w:type="dxa"/>
            <w:tcBorders>
              <w:top w:val="single" w:sz="8" w:space="0" w:color="auto"/>
            </w:tcBorders>
          </w:tcPr>
          <w:p w14:paraId="7FC8D66E"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新机组</w:t>
            </w:r>
          </w:p>
        </w:tc>
        <w:tc>
          <w:tcPr>
            <w:tcW w:w="2333" w:type="dxa"/>
            <w:tcBorders>
              <w:top w:val="single" w:sz="8" w:space="0" w:color="auto"/>
            </w:tcBorders>
          </w:tcPr>
          <w:p w14:paraId="56D72C60"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＜30</w:t>
            </w:r>
          </w:p>
        </w:tc>
        <w:tc>
          <w:tcPr>
            <w:tcW w:w="2333" w:type="dxa"/>
            <w:tcBorders>
              <w:top w:val="single" w:sz="8" w:space="0" w:color="auto"/>
            </w:tcBorders>
          </w:tcPr>
          <w:p w14:paraId="17CE46CE"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50≥指标值≥30</w:t>
            </w:r>
          </w:p>
        </w:tc>
        <w:tc>
          <w:tcPr>
            <w:tcW w:w="2334" w:type="dxa"/>
            <w:tcBorders>
              <w:top w:val="single" w:sz="8" w:space="0" w:color="auto"/>
            </w:tcBorders>
          </w:tcPr>
          <w:p w14:paraId="5F7EFDD6" w14:textId="77777777" w:rsidR="00BA301C" w:rsidRDefault="00000000">
            <w:pPr>
              <w:pStyle w:val="afffffffff9"/>
              <w:spacing w:line="360" w:lineRule="auto"/>
              <w:rPr>
                <w:color w:val="000000" w:themeColor="text1"/>
                <w:sz w:val="15"/>
                <w:szCs w:val="15"/>
              </w:rPr>
            </w:pPr>
            <w:r>
              <w:rPr>
                <w:rFonts w:hAnsi="宋体" w:hint="eastAsia"/>
                <w:color w:val="000000" w:themeColor="text1"/>
                <w:sz w:val="15"/>
                <w:szCs w:val="15"/>
              </w:rPr>
              <w:t>＞50</w:t>
            </w:r>
          </w:p>
        </w:tc>
      </w:tr>
    </w:tbl>
    <w:p w14:paraId="2863354C" w14:textId="77777777" w:rsidR="00BA301C" w:rsidRDefault="00000000">
      <w:pPr>
        <w:pStyle w:val="aff4"/>
        <w:spacing w:before="120" w:after="120" w:line="360" w:lineRule="auto"/>
        <w:rPr>
          <w:color w:val="000000" w:themeColor="text1"/>
        </w:rPr>
      </w:pPr>
      <w:r>
        <w:rPr>
          <w:rFonts w:hint="eastAsia"/>
          <w:color w:val="000000" w:themeColor="text1"/>
        </w:rPr>
        <w:t>主控室长报警和频繁报警数量</w:t>
      </w:r>
    </w:p>
    <w:p w14:paraId="0100667A" w14:textId="77777777" w:rsidR="00BA301C" w:rsidRDefault="00000000">
      <w:pPr>
        <w:pStyle w:val="afffff5"/>
        <w:spacing w:line="360" w:lineRule="auto"/>
        <w:ind w:firstLine="420"/>
        <w:rPr>
          <w:color w:val="000000" w:themeColor="text1"/>
        </w:rPr>
      </w:pPr>
      <w:r>
        <w:rPr>
          <w:rFonts w:hint="eastAsia"/>
          <w:color w:val="000000" w:themeColor="text1"/>
        </w:rPr>
        <w:t>定义：每月按机组统计，主控室内长期存在的报警或一天内出现5 次及以上并持续5 天及以上出现的频繁报警的数量。</w:t>
      </w:r>
    </w:p>
    <w:p w14:paraId="0767FCD6"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数据项：每月以机组为单位统计长期存在的报警数量、一天内出现</w:t>
      </w:r>
      <w:r>
        <w:rPr>
          <w:color w:val="000000" w:themeColor="text1"/>
        </w:rPr>
        <w:t>5</w:t>
      </w:r>
      <w:r>
        <w:rPr>
          <w:rFonts w:hint="eastAsia"/>
          <w:color w:val="000000" w:themeColor="text1"/>
        </w:rPr>
        <w:t>次及以上并持续</w:t>
      </w:r>
      <w:r>
        <w:rPr>
          <w:color w:val="000000" w:themeColor="text1"/>
        </w:rPr>
        <w:t>5</w:t>
      </w:r>
      <w:r>
        <w:rPr>
          <w:rFonts w:hint="eastAsia"/>
          <w:color w:val="000000" w:themeColor="text1"/>
        </w:rPr>
        <w:t>天及以上的报警数量。</w:t>
      </w:r>
    </w:p>
    <w:p w14:paraId="3B5B5F28" w14:textId="77777777" w:rsidR="00BA301C" w:rsidRDefault="00000000">
      <w:pPr>
        <w:pStyle w:val="afffff5"/>
        <w:spacing w:line="360" w:lineRule="auto"/>
        <w:ind w:firstLine="420"/>
        <w:rPr>
          <w:color w:val="000000" w:themeColor="text1"/>
        </w:rPr>
      </w:pPr>
      <w:r>
        <w:rPr>
          <w:rFonts w:hint="eastAsia"/>
          <w:color w:val="000000" w:themeColor="text1"/>
        </w:rPr>
        <w:t>计算方法：以机组为单位统计每月两</w:t>
      </w:r>
      <w:proofErr w:type="gramStart"/>
      <w:r>
        <w:rPr>
          <w:rFonts w:hint="eastAsia"/>
          <w:color w:val="000000" w:themeColor="text1"/>
        </w:rPr>
        <w:t>个</w:t>
      </w:r>
      <w:proofErr w:type="gramEnd"/>
      <w:r>
        <w:rPr>
          <w:rFonts w:hint="eastAsia"/>
          <w:color w:val="000000" w:themeColor="text1"/>
        </w:rPr>
        <w:t>数据项的总数。</w:t>
      </w:r>
    </w:p>
    <w:p w14:paraId="3B5E5677" w14:textId="77777777" w:rsidR="00BA301C" w:rsidRDefault="00000000">
      <w:pPr>
        <w:pStyle w:val="afffff5"/>
        <w:spacing w:line="360" w:lineRule="auto"/>
        <w:ind w:firstLine="420"/>
        <w:rPr>
          <w:color w:val="000000" w:themeColor="text1"/>
          <w:sz w:val="24"/>
          <w:szCs w:val="24"/>
        </w:rPr>
      </w:pPr>
      <w:r>
        <w:rPr>
          <w:rFonts w:hint="eastAsia"/>
          <w:color w:val="000000" w:themeColor="text1"/>
        </w:rPr>
        <w:t>指标状态判定准则：适用</w:t>
      </w:r>
      <w:proofErr w:type="gramStart"/>
      <w:r>
        <w:rPr>
          <w:rFonts w:hint="eastAsia"/>
          <w:color w:val="000000" w:themeColor="text1"/>
        </w:rPr>
        <w:t>月度值</w:t>
      </w:r>
      <w:proofErr w:type="gramEnd"/>
      <w:r>
        <w:rPr>
          <w:rFonts w:hint="eastAsia"/>
          <w:color w:val="000000" w:themeColor="text1"/>
        </w:rPr>
        <w:t>的判定。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1EB2DD7D" w14:textId="77777777">
        <w:trPr>
          <w:tblHeader/>
          <w:jc w:val="center"/>
        </w:trPr>
        <w:tc>
          <w:tcPr>
            <w:tcW w:w="3110" w:type="dxa"/>
            <w:tcBorders>
              <w:top w:val="single" w:sz="8" w:space="0" w:color="auto"/>
              <w:bottom w:val="single" w:sz="8" w:space="0" w:color="auto"/>
            </w:tcBorders>
          </w:tcPr>
          <w:p w14:paraId="2D27D59E"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6C3AE5B0"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2A8A823B"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0534C0F4" w14:textId="77777777">
        <w:trPr>
          <w:jc w:val="center"/>
        </w:trPr>
        <w:tc>
          <w:tcPr>
            <w:tcW w:w="3110" w:type="dxa"/>
            <w:tcBorders>
              <w:top w:val="single" w:sz="8" w:space="0" w:color="auto"/>
            </w:tcBorders>
          </w:tcPr>
          <w:p w14:paraId="4EE7C5E6"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指标值＜3</w:t>
            </w:r>
          </w:p>
        </w:tc>
        <w:tc>
          <w:tcPr>
            <w:tcW w:w="3112" w:type="dxa"/>
            <w:tcBorders>
              <w:top w:val="single" w:sz="8" w:space="0" w:color="auto"/>
            </w:tcBorders>
          </w:tcPr>
          <w:p w14:paraId="2C9FD8F4" w14:textId="77777777" w:rsidR="00BA301C" w:rsidRDefault="00000000">
            <w:pPr>
              <w:pStyle w:val="afffffffff9"/>
              <w:spacing w:line="360" w:lineRule="auto"/>
              <w:rPr>
                <w:color w:val="000000" w:themeColor="text1"/>
                <w:szCs w:val="18"/>
              </w:rPr>
            </w:pPr>
            <w:r>
              <w:rPr>
                <w:rFonts w:hAnsi="宋体" w:hint="eastAsia"/>
                <w:color w:val="000000" w:themeColor="text1"/>
                <w:szCs w:val="18"/>
              </w:rPr>
              <w:t>5≥指标值≥3</w:t>
            </w:r>
          </w:p>
        </w:tc>
        <w:tc>
          <w:tcPr>
            <w:tcW w:w="3112" w:type="dxa"/>
            <w:tcBorders>
              <w:top w:val="single" w:sz="8" w:space="0" w:color="auto"/>
            </w:tcBorders>
          </w:tcPr>
          <w:p w14:paraId="0B52DEA9"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指标值＞5</w:t>
            </w:r>
          </w:p>
        </w:tc>
      </w:tr>
    </w:tbl>
    <w:p w14:paraId="53DB1606" w14:textId="77777777" w:rsidR="00BA301C" w:rsidRDefault="00000000">
      <w:pPr>
        <w:pStyle w:val="aff4"/>
        <w:spacing w:before="120" w:after="120" w:line="360" w:lineRule="auto"/>
        <w:rPr>
          <w:color w:val="000000" w:themeColor="text1"/>
        </w:rPr>
      </w:pPr>
      <w:r>
        <w:rPr>
          <w:rFonts w:hint="eastAsia"/>
          <w:color w:val="000000" w:themeColor="text1"/>
        </w:rPr>
        <w:t>机组能力因子U</w:t>
      </w:r>
      <w:r>
        <w:rPr>
          <w:color w:val="000000" w:themeColor="text1"/>
        </w:rPr>
        <w:t>CF(WANO)</w:t>
      </w:r>
    </w:p>
    <w:p w14:paraId="16E8C5AA" w14:textId="77777777" w:rsidR="00BA301C" w:rsidRDefault="00000000">
      <w:pPr>
        <w:pStyle w:val="afffff5"/>
        <w:spacing w:line="360" w:lineRule="auto"/>
        <w:ind w:firstLine="420"/>
        <w:rPr>
          <w:color w:val="000000" w:themeColor="text1"/>
        </w:rPr>
      </w:pPr>
      <w:r>
        <w:rPr>
          <w:rFonts w:hint="eastAsia"/>
          <w:color w:val="000000" w:themeColor="text1"/>
        </w:rPr>
        <w:t>定义：该指标定义与WANO指标手册中的UCF保持一致。给定时期内可用发电量（在参考环境条件下，以及在考虑电厂管理控制（即对电厂设备、人员及工作的管理控制）范围内的因素后，所能够产生的发电量）与同期额定发电量的比值，用百分比表示。</w:t>
      </w:r>
    </w:p>
    <w:p w14:paraId="7AF3CA4B" w14:textId="77777777" w:rsidR="00BA301C" w:rsidRDefault="00000000">
      <w:pPr>
        <w:pStyle w:val="afffff5"/>
        <w:spacing w:line="360" w:lineRule="auto"/>
        <w:ind w:firstLine="420"/>
        <w:rPr>
          <w:color w:val="000000" w:themeColor="text1"/>
        </w:rPr>
      </w:pPr>
      <w:r>
        <w:rPr>
          <w:rFonts w:hint="eastAsia"/>
          <w:color w:val="000000" w:themeColor="text1"/>
        </w:rPr>
        <w:lastRenderedPageBreak/>
        <w:t>数据项：每月以机组为单位统计，如果反应堆换料周期是 12个月或 24个月，或者机组是重水堆，那么需采用2年值；如果反应堆换料周期是18个月，则采用 18个月值。</w:t>
      </w:r>
    </w:p>
    <w:p w14:paraId="75A4A0A5"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color w:val="000000" w:themeColor="text1"/>
        </w:rPr>
        <w:br/>
      </w:r>
      <m:oMathPara>
        <m:oMath>
          <m:r>
            <m:rPr>
              <m:sty m:val="p"/>
            </m:rPr>
            <w:rPr>
              <w:rFonts w:ascii="Cambria Math" w:hAnsi="Cambria Math"/>
              <w:color w:val="000000" w:themeColor="text1"/>
            </w:rPr>
            <m:t>机组能力因子</m:t>
          </m:r>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REG-PEL-FEL-OEL</m:t>
              </m:r>
            </m:num>
            <m:den>
              <m:r>
                <m:rPr>
                  <m:sty m:val="p"/>
                </m:rPr>
                <w:rPr>
                  <w:rFonts w:ascii="Cambria Math" w:hAnsi="Cambria Math"/>
                  <w:color w:val="000000" w:themeColor="text1"/>
                </w:rPr>
                <m:t>REG</m:t>
              </m:r>
            </m:den>
          </m:f>
          <m:r>
            <m:rPr>
              <m:sty m:val="p"/>
            </m:rPr>
            <w:rPr>
              <w:rFonts w:ascii="Cambria Math" w:hAnsi="Cambria Math"/>
              <w:color w:val="000000" w:themeColor="text1"/>
            </w:rPr>
            <m:t>×100%</m:t>
          </m:r>
        </m:oMath>
      </m:oMathPara>
    </w:p>
    <w:p w14:paraId="47B3CE74" w14:textId="77777777" w:rsidR="00BA301C" w:rsidRDefault="00000000">
      <w:pPr>
        <w:pStyle w:val="afffff5"/>
        <w:spacing w:line="360" w:lineRule="auto"/>
        <w:ind w:firstLine="420"/>
        <w:rPr>
          <w:color w:val="000000" w:themeColor="text1"/>
        </w:rPr>
      </w:pPr>
      <w:r>
        <w:rPr>
          <w:color w:val="000000" w:themeColor="text1"/>
        </w:rPr>
        <w:t>PEL</w:t>
      </w:r>
      <w:r>
        <w:rPr>
          <w:rFonts w:hint="eastAsia"/>
          <w:color w:val="000000" w:themeColor="text1"/>
        </w:rPr>
        <w:t>：计划损失发电量（单位：万千瓦时）</w:t>
      </w:r>
    </w:p>
    <w:p w14:paraId="5804235D" w14:textId="77777777" w:rsidR="00BA301C" w:rsidRDefault="00000000">
      <w:pPr>
        <w:pStyle w:val="afffff5"/>
        <w:spacing w:line="360" w:lineRule="auto"/>
        <w:ind w:firstLine="420"/>
        <w:rPr>
          <w:color w:val="000000" w:themeColor="text1"/>
        </w:rPr>
      </w:pPr>
      <w:r>
        <w:rPr>
          <w:color w:val="000000" w:themeColor="text1"/>
        </w:rPr>
        <w:t>FEL</w:t>
      </w:r>
      <w:r>
        <w:rPr>
          <w:rFonts w:hint="eastAsia"/>
          <w:color w:val="000000" w:themeColor="text1"/>
        </w:rPr>
        <w:t>：非计划强迫损失发电量（单位：万千瓦时）</w:t>
      </w:r>
    </w:p>
    <w:p w14:paraId="31CD7DDA" w14:textId="77777777" w:rsidR="00BA301C" w:rsidRDefault="00000000">
      <w:pPr>
        <w:pStyle w:val="afffff5"/>
        <w:spacing w:line="360" w:lineRule="auto"/>
        <w:ind w:firstLine="420"/>
        <w:rPr>
          <w:color w:val="000000" w:themeColor="text1"/>
        </w:rPr>
      </w:pPr>
      <w:r>
        <w:rPr>
          <w:color w:val="000000" w:themeColor="text1"/>
        </w:rPr>
        <w:t>OEL</w:t>
      </w:r>
      <w:r>
        <w:rPr>
          <w:rFonts w:hint="eastAsia"/>
          <w:color w:val="000000" w:themeColor="text1"/>
        </w:rPr>
        <w:t>：非计划延期损失发电量（单位：万千瓦时）</w:t>
      </w:r>
    </w:p>
    <w:p w14:paraId="3361F095" w14:textId="77777777" w:rsidR="00BA301C" w:rsidRDefault="00000000">
      <w:pPr>
        <w:pStyle w:val="afffff5"/>
        <w:spacing w:line="360" w:lineRule="auto"/>
        <w:ind w:firstLine="420"/>
        <w:rPr>
          <w:color w:val="000000" w:themeColor="text1"/>
        </w:rPr>
      </w:pPr>
      <w:r>
        <w:rPr>
          <w:color w:val="000000" w:themeColor="text1"/>
        </w:rPr>
        <w:t>REG</w:t>
      </w:r>
      <w:r>
        <w:rPr>
          <w:rFonts w:hint="eastAsia"/>
          <w:color w:val="000000" w:themeColor="text1"/>
        </w:rPr>
        <w:t>：额定发电量（单位：万千瓦时）</w:t>
      </w:r>
    </w:p>
    <w:p w14:paraId="4F575C8B" w14:textId="77777777" w:rsidR="00BA301C" w:rsidRDefault="00000000">
      <w:pPr>
        <w:pStyle w:val="afffff5"/>
        <w:spacing w:line="360" w:lineRule="auto"/>
        <w:ind w:firstLine="420"/>
        <w:rPr>
          <w:color w:val="000000" w:themeColor="text1"/>
          <w:sz w:val="18"/>
          <w:szCs w:val="18"/>
        </w:rPr>
      </w:pPr>
      <w:r>
        <w:rPr>
          <w:rFonts w:hint="eastAsia"/>
          <w:color w:val="000000" w:themeColor="text1"/>
        </w:rPr>
        <w:t>指标状态判定准则：</w:t>
      </w:r>
      <w:r>
        <w:rPr>
          <w:color w:val="000000" w:themeColor="text1"/>
          <w:sz w:val="18"/>
          <w:szCs w:val="18"/>
        </w:rPr>
        <w:t xml:space="preserve"> </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0A86D229" w14:textId="77777777">
        <w:trPr>
          <w:tblHeader/>
          <w:jc w:val="center"/>
        </w:trPr>
        <w:tc>
          <w:tcPr>
            <w:tcW w:w="3110" w:type="dxa"/>
            <w:tcBorders>
              <w:top w:val="single" w:sz="8" w:space="0" w:color="auto"/>
              <w:bottom w:val="single" w:sz="8" w:space="0" w:color="auto"/>
            </w:tcBorders>
          </w:tcPr>
          <w:p w14:paraId="65862739"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669B90AB"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7909DD97"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6F9ECEF9" w14:textId="77777777">
        <w:trPr>
          <w:jc w:val="center"/>
        </w:trPr>
        <w:tc>
          <w:tcPr>
            <w:tcW w:w="3110" w:type="dxa"/>
            <w:tcBorders>
              <w:top w:val="single" w:sz="8" w:space="0" w:color="auto"/>
            </w:tcBorders>
          </w:tcPr>
          <w:p w14:paraId="71391C60"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指标值≥92%</w:t>
            </w:r>
          </w:p>
        </w:tc>
        <w:tc>
          <w:tcPr>
            <w:tcW w:w="3112" w:type="dxa"/>
            <w:tcBorders>
              <w:top w:val="single" w:sz="8" w:space="0" w:color="auto"/>
            </w:tcBorders>
          </w:tcPr>
          <w:p w14:paraId="37027288" w14:textId="77777777" w:rsidR="00BA301C" w:rsidRDefault="00000000">
            <w:pPr>
              <w:pStyle w:val="afffffffff9"/>
              <w:spacing w:line="360" w:lineRule="auto"/>
              <w:rPr>
                <w:color w:val="000000" w:themeColor="text1"/>
                <w:szCs w:val="18"/>
              </w:rPr>
            </w:pPr>
            <w:r>
              <w:rPr>
                <w:rFonts w:hAnsi="宋体" w:hint="eastAsia"/>
                <w:color w:val="000000" w:themeColor="text1"/>
                <w:szCs w:val="18"/>
              </w:rPr>
              <w:t>80%＜指标值＜92%</w:t>
            </w:r>
          </w:p>
        </w:tc>
        <w:tc>
          <w:tcPr>
            <w:tcW w:w="3112" w:type="dxa"/>
            <w:tcBorders>
              <w:top w:val="single" w:sz="8" w:space="0" w:color="auto"/>
            </w:tcBorders>
          </w:tcPr>
          <w:p w14:paraId="73F0955C"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指标值≤80%</w:t>
            </w:r>
          </w:p>
        </w:tc>
      </w:tr>
    </w:tbl>
    <w:p w14:paraId="3A771DAB" w14:textId="77777777" w:rsidR="00BA301C" w:rsidRDefault="00000000">
      <w:pPr>
        <w:pStyle w:val="aff4"/>
        <w:spacing w:before="120" w:after="120" w:line="360" w:lineRule="auto"/>
        <w:rPr>
          <w:color w:val="000000" w:themeColor="text1"/>
        </w:rPr>
      </w:pPr>
      <w:r>
        <w:rPr>
          <w:rFonts w:hint="eastAsia"/>
          <w:color w:val="000000" w:themeColor="text1"/>
        </w:rPr>
        <w:t>强迫损失率FLR</w:t>
      </w:r>
    </w:p>
    <w:p w14:paraId="06BA02AA" w14:textId="77777777" w:rsidR="00BA301C" w:rsidRDefault="00000000">
      <w:pPr>
        <w:pStyle w:val="afffff5"/>
        <w:spacing w:line="360" w:lineRule="auto"/>
        <w:ind w:firstLine="420"/>
        <w:rPr>
          <w:color w:val="000000" w:themeColor="text1"/>
        </w:rPr>
      </w:pPr>
      <w:r>
        <w:rPr>
          <w:rFonts w:hint="eastAsia"/>
          <w:color w:val="000000" w:themeColor="text1"/>
        </w:rPr>
        <w:t>定义：该指标定义与WANO指标手册中的FLR保持一致。给定时期内非计划强迫损失发电量与同期额定发电量减去同期计划损失发电量与同期非计划延期损失发电量之和的比值。用百分比表示。</w:t>
      </w:r>
    </w:p>
    <w:p w14:paraId="2904E98F"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t>
      </w:r>
      <w:r>
        <w:rPr>
          <w:rFonts w:hAnsi="宋体" w:hint="eastAsia"/>
          <w:color w:val="000000" w:themeColor="text1"/>
          <w:szCs w:val="21"/>
        </w:rPr>
        <w:t>12个月滚动强迫损失率。</w:t>
      </w:r>
    </w:p>
    <w:p w14:paraId="3C80D676"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color w:val="000000" w:themeColor="text1"/>
        </w:rPr>
        <w:br/>
      </w:r>
      <m:oMathPara>
        <m:oMath>
          <m:f>
            <m:fPr>
              <m:ctrlPr>
                <w:rPr>
                  <w:rFonts w:ascii="Cambria Math" w:hAnsi="Cambria Math"/>
                  <w:color w:val="000000" w:themeColor="text1"/>
                </w:rPr>
              </m:ctrlPr>
            </m:fPr>
            <m:num>
              <m:r>
                <m:rPr>
                  <m:sty m:val="p"/>
                </m:rPr>
                <w:rPr>
                  <w:rFonts w:ascii="Cambria Math" w:hAnsi="Cambria Math"/>
                  <w:color w:val="000000" w:themeColor="text1"/>
                </w:rPr>
                <m:t>FEL</m:t>
              </m:r>
            </m:num>
            <m:den>
              <m:r>
                <m:rPr>
                  <m:sty m:val="p"/>
                </m:rPr>
                <w:rPr>
                  <w:rFonts w:ascii="Cambria Math" w:hAnsi="Cambria Math"/>
                  <w:color w:val="000000" w:themeColor="text1"/>
                </w:rPr>
                <m:t>REG</m:t>
              </m:r>
              <m:r>
                <m:rPr>
                  <m:sty m:val="p"/>
                </m:rPr>
                <w:rPr>
                  <w:rFonts w:ascii="Cambria Math" w:eastAsia="微软雅黑" w:hAnsi="Cambria Math" w:cs="微软雅黑" w:hint="eastAsia"/>
                  <w:color w:val="000000" w:themeColor="text1"/>
                </w:rPr>
                <m:t>-</m:t>
              </m:r>
              <m:r>
                <m:rPr>
                  <m:sty m:val="p"/>
                </m:rPr>
                <w:rPr>
                  <w:rFonts w:ascii="Cambria Math" w:hAnsi="Cambria Math"/>
                  <w:color w:val="000000" w:themeColor="text1"/>
                </w:rPr>
                <m:t>(PEL+OEL)</m:t>
              </m:r>
            </m:den>
          </m:f>
          <m:r>
            <m:rPr>
              <m:sty m:val="p"/>
            </m:rPr>
            <w:rPr>
              <w:rFonts w:ascii="Cambria Math" w:hAnsi="Cambria Math"/>
              <w:color w:val="000000" w:themeColor="text1"/>
            </w:rPr>
            <m:t>×100%</m:t>
          </m:r>
        </m:oMath>
      </m:oMathPara>
    </w:p>
    <w:p w14:paraId="35B03998" w14:textId="77777777" w:rsidR="00BA301C" w:rsidRDefault="00000000">
      <w:pPr>
        <w:pStyle w:val="afffff5"/>
        <w:spacing w:line="360" w:lineRule="auto"/>
        <w:ind w:firstLine="420"/>
        <w:rPr>
          <w:color w:val="000000" w:themeColor="text1"/>
        </w:rPr>
      </w:pPr>
      <w:r>
        <w:rPr>
          <w:rFonts w:hint="eastAsia"/>
          <w:color w:val="000000" w:themeColor="text1"/>
        </w:rPr>
        <w:t>FEL = 非计划强迫损失发电量（单位：万千瓦时）</w:t>
      </w:r>
    </w:p>
    <w:p w14:paraId="449E560F" w14:textId="77777777" w:rsidR="00BA301C" w:rsidRDefault="00000000">
      <w:pPr>
        <w:pStyle w:val="afffff5"/>
        <w:spacing w:line="360" w:lineRule="auto"/>
        <w:ind w:firstLine="420"/>
        <w:rPr>
          <w:color w:val="000000" w:themeColor="text1"/>
        </w:rPr>
      </w:pPr>
      <w:r>
        <w:rPr>
          <w:rFonts w:hint="eastAsia"/>
          <w:color w:val="000000" w:themeColor="text1"/>
        </w:rPr>
        <w:t>REG = 额定发电量（单位：万千瓦时）</w:t>
      </w:r>
    </w:p>
    <w:p w14:paraId="09584F20" w14:textId="77777777" w:rsidR="00BA301C" w:rsidRDefault="00000000">
      <w:pPr>
        <w:pStyle w:val="afffff5"/>
        <w:spacing w:line="360" w:lineRule="auto"/>
        <w:ind w:firstLine="420"/>
        <w:rPr>
          <w:color w:val="000000" w:themeColor="text1"/>
        </w:rPr>
      </w:pPr>
      <w:r>
        <w:rPr>
          <w:rFonts w:hint="eastAsia"/>
          <w:color w:val="000000" w:themeColor="text1"/>
        </w:rPr>
        <w:t>PEL = 计划损失发电量（单位：万千瓦时）</w:t>
      </w:r>
    </w:p>
    <w:p w14:paraId="1BE031A7" w14:textId="77777777" w:rsidR="00BA301C" w:rsidRDefault="00000000">
      <w:pPr>
        <w:pStyle w:val="afffff5"/>
        <w:spacing w:line="360" w:lineRule="auto"/>
        <w:ind w:firstLine="420"/>
        <w:rPr>
          <w:color w:val="000000" w:themeColor="text1"/>
        </w:rPr>
      </w:pPr>
      <w:r>
        <w:rPr>
          <w:rFonts w:hint="eastAsia"/>
          <w:color w:val="000000" w:themeColor="text1"/>
        </w:rPr>
        <w:t>OEL = 非计划延期损失发电量（单位：万千瓦时）</w:t>
      </w:r>
    </w:p>
    <w:p w14:paraId="02DDA1E6" w14:textId="77777777" w:rsidR="00BA301C" w:rsidRDefault="00000000">
      <w:pPr>
        <w:pStyle w:val="afffff5"/>
        <w:spacing w:line="360" w:lineRule="auto"/>
        <w:ind w:firstLine="420"/>
        <w:rPr>
          <w:color w:val="000000" w:themeColor="text1"/>
          <w:sz w:val="18"/>
          <w:szCs w:val="18"/>
        </w:rPr>
      </w:pPr>
      <w:r>
        <w:rPr>
          <w:rFonts w:hint="eastAsia"/>
          <w:color w:val="000000" w:themeColor="text1"/>
        </w:rPr>
        <w:t>指标状态判定准则：适</w:t>
      </w:r>
      <w:r>
        <w:rPr>
          <w:rFonts w:hint="eastAsia"/>
          <w:color w:val="000000" w:themeColor="text1"/>
          <w:szCs w:val="21"/>
        </w:rPr>
        <w:t>用12个月滚动值。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1B1F66D9" w14:textId="77777777">
        <w:trPr>
          <w:tblHeader/>
          <w:jc w:val="center"/>
        </w:trPr>
        <w:tc>
          <w:tcPr>
            <w:tcW w:w="2334" w:type="dxa"/>
            <w:tcBorders>
              <w:top w:val="single" w:sz="8" w:space="0" w:color="auto"/>
              <w:bottom w:val="single" w:sz="8" w:space="0" w:color="auto"/>
            </w:tcBorders>
          </w:tcPr>
          <w:p w14:paraId="0B9899F3" w14:textId="77777777" w:rsidR="00BA301C" w:rsidRDefault="00BA301C">
            <w:pPr>
              <w:pStyle w:val="afffffffff9"/>
              <w:spacing w:line="360" w:lineRule="auto"/>
              <w:rPr>
                <w:color w:val="000000" w:themeColor="text1"/>
              </w:rPr>
            </w:pPr>
          </w:p>
        </w:tc>
        <w:tc>
          <w:tcPr>
            <w:tcW w:w="2333" w:type="dxa"/>
            <w:tcBorders>
              <w:top w:val="single" w:sz="8" w:space="0" w:color="auto"/>
              <w:bottom w:val="single" w:sz="8" w:space="0" w:color="auto"/>
            </w:tcBorders>
          </w:tcPr>
          <w:p w14:paraId="7856A4E4" w14:textId="77777777" w:rsidR="00BA301C" w:rsidRDefault="00000000">
            <w:pPr>
              <w:pStyle w:val="afffffffff9"/>
              <w:spacing w:line="360" w:lineRule="auto"/>
              <w:rPr>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2F00B6B5" w14:textId="77777777" w:rsidR="00BA301C" w:rsidRDefault="00000000">
            <w:pPr>
              <w:pStyle w:val="afffffffff9"/>
              <w:spacing w:line="360" w:lineRule="auto"/>
              <w:rPr>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496DFA12" w14:textId="77777777" w:rsidR="00BA301C" w:rsidRDefault="00000000">
            <w:pPr>
              <w:pStyle w:val="afffffffff9"/>
              <w:spacing w:line="360" w:lineRule="auto"/>
              <w:rPr>
                <w:color w:val="000000" w:themeColor="text1"/>
              </w:rPr>
            </w:pPr>
            <w:r>
              <w:rPr>
                <w:rFonts w:hAnsi="宋体" w:hint="eastAsia"/>
                <w:color w:val="000000" w:themeColor="text1"/>
              </w:rPr>
              <w:t>红灯</w:t>
            </w:r>
          </w:p>
        </w:tc>
      </w:tr>
      <w:tr w:rsidR="00BA301C" w14:paraId="3EC7193C" w14:textId="77777777">
        <w:trPr>
          <w:jc w:val="center"/>
        </w:trPr>
        <w:tc>
          <w:tcPr>
            <w:tcW w:w="2334" w:type="dxa"/>
            <w:tcBorders>
              <w:top w:val="single" w:sz="8" w:space="0" w:color="auto"/>
            </w:tcBorders>
          </w:tcPr>
          <w:p w14:paraId="1EB9524C" w14:textId="77777777" w:rsidR="00BA301C" w:rsidRDefault="00000000">
            <w:pPr>
              <w:pStyle w:val="afffffffff9"/>
              <w:spacing w:line="360" w:lineRule="auto"/>
              <w:rPr>
                <w:color w:val="000000" w:themeColor="text1"/>
              </w:rPr>
            </w:pPr>
            <w:r>
              <w:rPr>
                <w:rFonts w:hAnsi="宋体" w:hint="eastAsia"/>
                <w:color w:val="000000" w:themeColor="text1"/>
              </w:rPr>
              <w:t>运行机组</w:t>
            </w:r>
          </w:p>
        </w:tc>
        <w:tc>
          <w:tcPr>
            <w:tcW w:w="2333" w:type="dxa"/>
            <w:tcBorders>
              <w:top w:val="single" w:sz="8" w:space="0" w:color="auto"/>
            </w:tcBorders>
          </w:tcPr>
          <w:p w14:paraId="469701AE" w14:textId="77777777" w:rsidR="00BA301C" w:rsidRDefault="00000000">
            <w:pPr>
              <w:pStyle w:val="afffffffff9"/>
              <w:spacing w:line="360" w:lineRule="auto"/>
              <w:rPr>
                <w:color w:val="000000" w:themeColor="text1"/>
              </w:rPr>
            </w:pPr>
            <w:r>
              <w:rPr>
                <w:rFonts w:hAnsi="宋体" w:hint="eastAsia"/>
                <w:color w:val="000000" w:themeColor="text1"/>
              </w:rPr>
              <w:t>≤WANO先进值</w:t>
            </w:r>
          </w:p>
        </w:tc>
        <w:tc>
          <w:tcPr>
            <w:tcW w:w="2333" w:type="dxa"/>
            <w:tcBorders>
              <w:top w:val="single" w:sz="8" w:space="0" w:color="auto"/>
            </w:tcBorders>
          </w:tcPr>
          <w:p w14:paraId="2A284269" w14:textId="77777777" w:rsidR="00BA301C" w:rsidRDefault="00000000">
            <w:pPr>
              <w:pStyle w:val="afffffffff9"/>
              <w:spacing w:line="360" w:lineRule="auto"/>
              <w:rPr>
                <w:color w:val="000000" w:themeColor="text1"/>
              </w:rPr>
            </w:pPr>
            <w:r>
              <w:rPr>
                <w:rFonts w:hAnsi="宋体" w:hint="eastAsia"/>
                <w:color w:val="000000" w:themeColor="text1"/>
              </w:rPr>
              <w:t>WANO先进值＜指标值＜WANO中值</w:t>
            </w:r>
          </w:p>
        </w:tc>
        <w:tc>
          <w:tcPr>
            <w:tcW w:w="2334" w:type="dxa"/>
            <w:tcBorders>
              <w:top w:val="single" w:sz="8" w:space="0" w:color="auto"/>
            </w:tcBorders>
          </w:tcPr>
          <w:p w14:paraId="65887395" w14:textId="77777777" w:rsidR="00BA301C" w:rsidRDefault="00000000">
            <w:pPr>
              <w:pStyle w:val="afffffffff9"/>
              <w:spacing w:line="360" w:lineRule="auto"/>
              <w:rPr>
                <w:color w:val="000000" w:themeColor="text1"/>
              </w:rPr>
            </w:pPr>
            <w:r>
              <w:rPr>
                <w:rFonts w:hAnsi="宋体" w:hint="eastAsia"/>
                <w:color w:val="000000" w:themeColor="text1"/>
              </w:rPr>
              <w:t>≥WANO中值</w:t>
            </w:r>
          </w:p>
        </w:tc>
      </w:tr>
      <w:tr w:rsidR="00BA301C" w14:paraId="5F9FC734" w14:textId="77777777">
        <w:trPr>
          <w:jc w:val="center"/>
        </w:trPr>
        <w:tc>
          <w:tcPr>
            <w:tcW w:w="2334" w:type="dxa"/>
          </w:tcPr>
          <w:p w14:paraId="771FE12B" w14:textId="77777777" w:rsidR="00BA301C" w:rsidRDefault="00000000">
            <w:pPr>
              <w:pStyle w:val="afffffffff9"/>
              <w:spacing w:line="360" w:lineRule="auto"/>
              <w:rPr>
                <w:color w:val="000000" w:themeColor="text1"/>
              </w:rPr>
            </w:pPr>
            <w:r>
              <w:rPr>
                <w:rFonts w:hAnsi="宋体" w:hint="eastAsia"/>
                <w:color w:val="000000" w:themeColor="text1"/>
              </w:rPr>
              <w:t>新机组</w:t>
            </w:r>
          </w:p>
        </w:tc>
        <w:tc>
          <w:tcPr>
            <w:tcW w:w="2333" w:type="dxa"/>
          </w:tcPr>
          <w:p w14:paraId="1D0E2EAD" w14:textId="77777777" w:rsidR="00BA301C" w:rsidRDefault="00000000">
            <w:pPr>
              <w:pStyle w:val="afffffffff9"/>
              <w:spacing w:line="360" w:lineRule="auto"/>
              <w:rPr>
                <w:color w:val="000000" w:themeColor="text1"/>
              </w:rPr>
            </w:pPr>
            <w:r>
              <w:rPr>
                <w:rFonts w:hAnsi="宋体" w:hint="eastAsia"/>
                <w:color w:val="000000" w:themeColor="text1"/>
              </w:rPr>
              <w:t>≤1%</w:t>
            </w:r>
          </w:p>
        </w:tc>
        <w:tc>
          <w:tcPr>
            <w:tcW w:w="2333" w:type="dxa"/>
          </w:tcPr>
          <w:p w14:paraId="442166A8" w14:textId="77777777" w:rsidR="00BA301C" w:rsidRDefault="00000000">
            <w:pPr>
              <w:pStyle w:val="afffffffff9"/>
              <w:spacing w:line="360" w:lineRule="auto"/>
              <w:rPr>
                <w:color w:val="000000" w:themeColor="text1"/>
              </w:rPr>
            </w:pPr>
            <w:r>
              <w:rPr>
                <w:rFonts w:hAnsi="宋体" w:hint="eastAsia"/>
                <w:color w:val="000000" w:themeColor="text1"/>
              </w:rPr>
              <w:t>1%＜指标值＜2%</w:t>
            </w:r>
          </w:p>
        </w:tc>
        <w:tc>
          <w:tcPr>
            <w:tcW w:w="2334" w:type="dxa"/>
          </w:tcPr>
          <w:p w14:paraId="506C23A1" w14:textId="77777777" w:rsidR="00BA301C" w:rsidRDefault="00000000">
            <w:pPr>
              <w:pStyle w:val="afffffffff9"/>
              <w:spacing w:line="360" w:lineRule="auto"/>
              <w:rPr>
                <w:color w:val="000000" w:themeColor="text1"/>
              </w:rPr>
            </w:pPr>
            <w:r>
              <w:rPr>
                <w:rFonts w:hAnsi="宋体" w:hint="eastAsia"/>
                <w:color w:val="000000" w:themeColor="text1"/>
              </w:rPr>
              <w:t>≥2%</w:t>
            </w:r>
          </w:p>
        </w:tc>
      </w:tr>
    </w:tbl>
    <w:p w14:paraId="0FAA0F6D" w14:textId="77777777" w:rsidR="00BA301C" w:rsidRDefault="00000000">
      <w:pPr>
        <w:pStyle w:val="afffff5"/>
        <w:spacing w:line="360" w:lineRule="auto"/>
        <w:ind w:firstLine="420"/>
        <w:rPr>
          <w:color w:val="000000" w:themeColor="text1"/>
          <w:kern w:val="2"/>
          <w:sz w:val="24"/>
          <w:szCs w:val="24"/>
        </w:rPr>
      </w:pPr>
      <w:r>
        <w:rPr>
          <w:rFonts w:hint="eastAsia"/>
          <w:color w:val="000000" w:themeColor="text1"/>
        </w:rPr>
        <w:t>说明：商运两年内（含2年）的机组，定义为新机组。WANO先进值、中值使用上一年度数据。</w:t>
      </w:r>
    </w:p>
    <w:p w14:paraId="0A1E93E7" w14:textId="77777777" w:rsidR="00BA301C" w:rsidRDefault="00000000">
      <w:pPr>
        <w:pStyle w:val="aff4"/>
        <w:spacing w:before="120" w:after="120" w:line="360" w:lineRule="auto"/>
        <w:rPr>
          <w:color w:val="000000" w:themeColor="text1"/>
        </w:rPr>
      </w:pPr>
      <w:r>
        <w:rPr>
          <w:rFonts w:hint="eastAsia"/>
          <w:color w:val="000000" w:themeColor="text1"/>
        </w:rPr>
        <w:t>非计划能力损失因子</w:t>
      </w:r>
    </w:p>
    <w:p w14:paraId="521CCD73" w14:textId="77777777" w:rsidR="00BA301C" w:rsidRDefault="00000000">
      <w:pPr>
        <w:pStyle w:val="afffff5"/>
        <w:spacing w:line="360" w:lineRule="auto"/>
        <w:ind w:firstLine="420"/>
        <w:rPr>
          <w:color w:val="000000" w:themeColor="text1"/>
        </w:rPr>
      </w:pPr>
      <w:r>
        <w:rPr>
          <w:rFonts w:hint="eastAsia"/>
          <w:color w:val="000000" w:themeColor="text1"/>
        </w:rPr>
        <w:t>定义：给定时期内非计划发电量损失与同期额定发电量的比率，以百分比表示。</w:t>
      </w:r>
    </w:p>
    <w:p w14:paraId="36028806"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t>
      </w:r>
      <w:r>
        <w:rPr>
          <w:rFonts w:hAnsi="宋体" w:hint="eastAsia"/>
          <w:color w:val="000000" w:themeColor="text1"/>
          <w:szCs w:val="21"/>
        </w:rPr>
        <w:t>12月滚动非计划能力损失因子</w:t>
      </w:r>
      <w:r>
        <w:rPr>
          <w:rFonts w:hint="eastAsia"/>
          <w:color w:val="000000" w:themeColor="text1"/>
        </w:rPr>
        <w:t>。</w:t>
      </w:r>
    </w:p>
    <w:p w14:paraId="1A292074" w14:textId="77777777" w:rsidR="00BA301C" w:rsidRDefault="00000000">
      <w:pPr>
        <w:pStyle w:val="afffff5"/>
        <w:spacing w:line="360" w:lineRule="auto"/>
        <w:ind w:firstLine="420"/>
        <w:rPr>
          <w:color w:val="000000" w:themeColor="text1"/>
        </w:rPr>
      </w:pPr>
      <w:r>
        <w:rPr>
          <w:rFonts w:hint="eastAsia"/>
          <w:color w:val="000000" w:themeColor="text1"/>
        </w:rPr>
        <w:t>计算方法：</w:t>
      </w:r>
      <w:r>
        <w:rPr>
          <w:rFonts w:ascii="Cambria Math" w:hAnsi="Cambria Math"/>
          <w:color w:val="000000" w:themeColor="text1"/>
        </w:rPr>
        <w:br/>
      </w:r>
      <m:oMathPara>
        <m:oMath>
          <m:r>
            <m:rPr>
              <m:sty m:val="p"/>
            </m:rPr>
            <w:rPr>
              <w:rFonts w:ascii="Cambria Math" w:hAnsi="Cambria Math"/>
              <w:color w:val="000000" w:themeColor="text1"/>
            </w:rPr>
            <w:lastRenderedPageBreak/>
            <m:t>非计划能力损失因子</m:t>
          </m:r>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OEL+FEL</m:t>
              </m:r>
            </m:num>
            <m:den>
              <m:r>
                <m:rPr>
                  <m:sty m:val="p"/>
                </m:rPr>
                <w:rPr>
                  <w:rFonts w:ascii="Cambria Math" w:hAnsi="Cambria Math"/>
                  <w:color w:val="000000" w:themeColor="text1"/>
                </w:rPr>
                <m:t>REG</m:t>
              </m:r>
            </m:den>
          </m:f>
          <m:r>
            <m:rPr>
              <m:sty m:val="p"/>
            </m:rPr>
            <w:rPr>
              <w:rFonts w:ascii="Cambria Math" w:hAnsi="Cambria Math"/>
              <w:color w:val="000000" w:themeColor="text1"/>
            </w:rPr>
            <m:t>×100%</m:t>
          </m:r>
        </m:oMath>
      </m:oMathPara>
    </w:p>
    <w:p w14:paraId="36CEC68D" w14:textId="77777777" w:rsidR="00BA301C" w:rsidRDefault="00000000">
      <w:pPr>
        <w:pStyle w:val="afffff5"/>
        <w:spacing w:line="360" w:lineRule="auto"/>
        <w:ind w:firstLine="420"/>
        <w:rPr>
          <w:color w:val="000000" w:themeColor="text1"/>
        </w:rPr>
      </w:pPr>
      <w:r>
        <w:rPr>
          <w:color w:val="000000" w:themeColor="text1"/>
        </w:rPr>
        <w:t>FEL</w:t>
      </w:r>
      <w:r>
        <w:rPr>
          <w:rFonts w:hint="eastAsia"/>
          <w:color w:val="000000" w:themeColor="text1"/>
        </w:rPr>
        <w:t>：非计划强迫损失发电量（单位：万千瓦时）。</w:t>
      </w:r>
    </w:p>
    <w:p w14:paraId="35A3E2D8" w14:textId="77777777" w:rsidR="00BA301C" w:rsidRDefault="00000000">
      <w:pPr>
        <w:pStyle w:val="afffff5"/>
        <w:spacing w:line="360" w:lineRule="auto"/>
        <w:ind w:firstLine="420"/>
        <w:rPr>
          <w:color w:val="000000" w:themeColor="text1"/>
        </w:rPr>
      </w:pPr>
      <w:r>
        <w:rPr>
          <w:color w:val="000000" w:themeColor="text1"/>
        </w:rPr>
        <w:t>OEL</w:t>
      </w:r>
      <w:r>
        <w:rPr>
          <w:rFonts w:hint="eastAsia"/>
          <w:color w:val="000000" w:themeColor="text1"/>
        </w:rPr>
        <w:t>：非计划延期损失发电量（单位：万千瓦时）。</w:t>
      </w:r>
    </w:p>
    <w:p w14:paraId="6B424737" w14:textId="77777777" w:rsidR="00BA301C" w:rsidRDefault="00000000">
      <w:pPr>
        <w:pStyle w:val="afffff5"/>
        <w:spacing w:line="360" w:lineRule="auto"/>
        <w:ind w:firstLine="420"/>
        <w:rPr>
          <w:color w:val="000000" w:themeColor="text1"/>
        </w:rPr>
      </w:pPr>
      <w:r>
        <w:rPr>
          <w:color w:val="000000" w:themeColor="text1"/>
        </w:rPr>
        <w:t>REG</w:t>
      </w:r>
      <w:r>
        <w:rPr>
          <w:rFonts w:hint="eastAsia"/>
          <w:color w:val="000000" w:themeColor="text1"/>
        </w:rPr>
        <w:t>：额定发电量（单位：万千瓦时）。</w:t>
      </w:r>
    </w:p>
    <w:p w14:paraId="68B30582" w14:textId="77777777" w:rsidR="00BA301C" w:rsidRDefault="00000000">
      <w:pPr>
        <w:pStyle w:val="afffff5"/>
        <w:spacing w:line="360" w:lineRule="auto"/>
        <w:ind w:firstLine="420"/>
        <w:rPr>
          <w:color w:val="000000" w:themeColor="text1"/>
          <w:sz w:val="18"/>
          <w:szCs w:val="18"/>
        </w:rPr>
      </w:pPr>
      <w:r>
        <w:rPr>
          <w:rFonts w:hint="eastAsia"/>
          <w:color w:val="000000" w:themeColor="text1"/>
        </w:rPr>
        <w:t>指标状态判定准则：适</w:t>
      </w:r>
      <w:r>
        <w:rPr>
          <w:rFonts w:hint="eastAsia"/>
          <w:color w:val="000000" w:themeColor="text1"/>
          <w:szCs w:val="21"/>
        </w:rPr>
        <w:t>用12个月滚动累计值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247AD9D7" w14:textId="77777777">
        <w:trPr>
          <w:tblHeader/>
          <w:jc w:val="center"/>
        </w:trPr>
        <w:tc>
          <w:tcPr>
            <w:tcW w:w="2334" w:type="dxa"/>
            <w:tcBorders>
              <w:top w:val="single" w:sz="8" w:space="0" w:color="auto"/>
              <w:bottom w:val="single" w:sz="8" w:space="0" w:color="auto"/>
            </w:tcBorders>
          </w:tcPr>
          <w:p w14:paraId="36E7483C" w14:textId="77777777" w:rsidR="00BA301C" w:rsidRDefault="00BA301C">
            <w:pPr>
              <w:pStyle w:val="afffffffff9"/>
              <w:spacing w:line="360" w:lineRule="auto"/>
              <w:rPr>
                <w:color w:val="000000" w:themeColor="text1"/>
              </w:rPr>
            </w:pPr>
          </w:p>
        </w:tc>
        <w:tc>
          <w:tcPr>
            <w:tcW w:w="2333" w:type="dxa"/>
            <w:tcBorders>
              <w:top w:val="single" w:sz="8" w:space="0" w:color="auto"/>
              <w:bottom w:val="single" w:sz="8" w:space="0" w:color="auto"/>
            </w:tcBorders>
          </w:tcPr>
          <w:p w14:paraId="61CAF0E0" w14:textId="77777777" w:rsidR="00BA301C" w:rsidRDefault="00000000">
            <w:pPr>
              <w:pStyle w:val="afffffffff9"/>
              <w:spacing w:line="360" w:lineRule="auto"/>
              <w:rPr>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41879B5D" w14:textId="77777777" w:rsidR="00BA301C" w:rsidRDefault="00000000">
            <w:pPr>
              <w:pStyle w:val="afffffffff9"/>
              <w:spacing w:line="360" w:lineRule="auto"/>
              <w:rPr>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0A601E66" w14:textId="77777777" w:rsidR="00BA301C" w:rsidRDefault="00000000">
            <w:pPr>
              <w:pStyle w:val="afffffffff9"/>
              <w:spacing w:line="360" w:lineRule="auto"/>
              <w:rPr>
                <w:color w:val="000000" w:themeColor="text1"/>
              </w:rPr>
            </w:pPr>
            <w:r>
              <w:rPr>
                <w:rFonts w:hAnsi="宋体" w:hint="eastAsia"/>
                <w:color w:val="000000" w:themeColor="text1"/>
              </w:rPr>
              <w:t>红灯</w:t>
            </w:r>
          </w:p>
        </w:tc>
      </w:tr>
      <w:tr w:rsidR="00BA301C" w14:paraId="13953BC4" w14:textId="77777777">
        <w:trPr>
          <w:jc w:val="center"/>
        </w:trPr>
        <w:tc>
          <w:tcPr>
            <w:tcW w:w="2334" w:type="dxa"/>
            <w:tcBorders>
              <w:top w:val="single" w:sz="8" w:space="0" w:color="auto"/>
            </w:tcBorders>
          </w:tcPr>
          <w:p w14:paraId="1803DC15" w14:textId="77777777" w:rsidR="00BA301C" w:rsidRDefault="00000000">
            <w:pPr>
              <w:pStyle w:val="afffffffff9"/>
              <w:spacing w:line="360" w:lineRule="auto"/>
              <w:rPr>
                <w:color w:val="000000" w:themeColor="text1"/>
              </w:rPr>
            </w:pPr>
            <w:r>
              <w:rPr>
                <w:rFonts w:hAnsi="宋体" w:hint="eastAsia"/>
                <w:color w:val="000000" w:themeColor="text1"/>
              </w:rPr>
              <w:t>运行机组</w:t>
            </w:r>
          </w:p>
        </w:tc>
        <w:tc>
          <w:tcPr>
            <w:tcW w:w="2333" w:type="dxa"/>
            <w:tcBorders>
              <w:top w:val="single" w:sz="8" w:space="0" w:color="auto"/>
            </w:tcBorders>
          </w:tcPr>
          <w:p w14:paraId="671ED656" w14:textId="77777777" w:rsidR="00BA301C" w:rsidRDefault="00000000">
            <w:pPr>
              <w:pStyle w:val="afffffffff9"/>
              <w:spacing w:line="360" w:lineRule="auto"/>
              <w:rPr>
                <w:color w:val="000000" w:themeColor="text1"/>
              </w:rPr>
            </w:pPr>
            <w:r>
              <w:rPr>
                <w:rFonts w:hAnsi="宋体" w:hint="eastAsia"/>
                <w:color w:val="000000" w:themeColor="text1"/>
              </w:rPr>
              <w:t>≤WANO先进值</w:t>
            </w:r>
          </w:p>
        </w:tc>
        <w:tc>
          <w:tcPr>
            <w:tcW w:w="2333" w:type="dxa"/>
            <w:tcBorders>
              <w:top w:val="single" w:sz="8" w:space="0" w:color="auto"/>
            </w:tcBorders>
          </w:tcPr>
          <w:p w14:paraId="251190BD" w14:textId="77777777" w:rsidR="00BA301C" w:rsidRDefault="00000000">
            <w:pPr>
              <w:pStyle w:val="afffffffff9"/>
              <w:spacing w:line="360" w:lineRule="auto"/>
              <w:rPr>
                <w:color w:val="000000" w:themeColor="text1"/>
              </w:rPr>
            </w:pPr>
            <w:r>
              <w:rPr>
                <w:rFonts w:hAnsi="宋体" w:hint="eastAsia"/>
                <w:color w:val="000000" w:themeColor="text1"/>
              </w:rPr>
              <w:t>WANO中值≤指标值＜WANO先进值</w:t>
            </w:r>
          </w:p>
        </w:tc>
        <w:tc>
          <w:tcPr>
            <w:tcW w:w="2334" w:type="dxa"/>
            <w:tcBorders>
              <w:top w:val="single" w:sz="8" w:space="0" w:color="auto"/>
            </w:tcBorders>
          </w:tcPr>
          <w:p w14:paraId="2DEA60ED" w14:textId="77777777" w:rsidR="00BA301C" w:rsidRDefault="00000000">
            <w:pPr>
              <w:pStyle w:val="afffffffff9"/>
              <w:spacing w:line="360" w:lineRule="auto"/>
              <w:rPr>
                <w:color w:val="000000" w:themeColor="text1"/>
              </w:rPr>
            </w:pPr>
            <w:r>
              <w:rPr>
                <w:rFonts w:hAnsi="宋体" w:hint="eastAsia"/>
                <w:color w:val="000000" w:themeColor="text1"/>
              </w:rPr>
              <w:t>＞WANO中值</w:t>
            </w:r>
          </w:p>
        </w:tc>
      </w:tr>
      <w:tr w:rsidR="00BA301C" w14:paraId="6D8CF7E7" w14:textId="77777777">
        <w:trPr>
          <w:jc w:val="center"/>
        </w:trPr>
        <w:tc>
          <w:tcPr>
            <w:tcW w:w="2334" w:type="dxa"/>
          </w:tcPr>
          <w:p w14:paraId="5F22959C" w14:textId="77777777" w:rsidR="00BA301C" w:rsidRDefault="00000000">
            <w:pPr>
              <w:pStyle w:val="afffffffff9"/>
              <w:spacing w:line="360" w:lineRule="auto"/>
              <w:rPr>
                <w:color w:val="000000" w:themeColor="text1"/>
              </w:rPr>
            </w:pPr>
            <w:r>
              <w:rPr>
                <w:rFonts w:hAnsi="宋体" w:hint="eastAsia"/>
                <w:color w:val="000000" w:themeColor="text1"/>
              </w:rPr>
              <w:t>新机组</w:t>
            </w:r>
          </w:p>
        </w:tc>
        <w:tc>
          <w:tcPr>
            <w:tcW w:w="2333" w:type="dxa"/>
          </w:tcPr>
          <w:p w14:paraId="4CD25F7B" w14:textId="77777777" w:rsidR="00BA301C" w:rsidRDefault="00000000">
            <w:pPr>
              <w:pStyle w:val="afffffffff9"/>
              <w:spacing w:line="360" w:lineRule="auto"/>
              <w:rPr>
                <w:color w:val="000000" w:themeColor="text1"/>
              </w:rPr>
            </w:pPr>
            <w:r>
              <w:rPr>
                <w:rFonts w:hAnsi="宋体" w:hint="eastAsia"/>
                <w:color w:val="000000" w:themeColor="text1"/>
              </w:rPr>
              <w:t>≤1%</w:t>
            </w:r>
          </w:p>
        </w:tc>
        <w:tc>
          <w:tcPr>
            <w:tcW w:w="2333" w:type="dxa"/>
          </w:tcPr>
          <w:p w14:paraId="3DA5DB68" w14:textId="77777777" w:rsidR="00BA301C" w:rsidRDefault="00000000">
            <w:pPr>
              <w:pStyle w:val="afffffffff9"/>
              <w:spacing w:line="360" w:lineRule="auto"/>
              <w:rPr>
                <w:color w:val="000000" w:themeColor="text1"/>
              </w:rPr>
            </w:pPr>
            <w:r>
              <w:rPr>
                <w:rFonts w:hAnsi="宋体" w:hint="eastAsia"/>
                <w:color w:val="000000" w:themeColor="text1"/>
              </w:rPr>
              <w:t>1%＜指标值≤2%</w:t>
            </w:r>
          </w:p>
        </w:tc>
        <w:tc>
          <w:tcPr>
            <w:tcW w:w="2334" w:type="dxa"/>
          </w:tcPr>
          <w:p w14:paraId="1EDF09F0" w14:textId="77777777" w:rsidR="00BA301C" w:rsidRDefault="00000000">
            <w:pPr>
              <w:pStyle w:val="afffffffff9"/>
              <w:spacing w:line="360" w:lineRule="auto"/>
              <w:rPr>
                <w:color w:val="000000" w:themeColor="text1"/>
              </w:rPr>
            </w:pPr>
            <w:r>
              <w:rPr>
                <w:rFonts w:hAnsi="宋体" w:hint="eastAsia"/>
                <w:color w:val="000000" w:themeColor="text1"/>
              </w:rPr>
              <w:t>＞2%</w:t>
            </w:r>
          </w:p>
        </w:tc>
      </w:tr>
    </w:tbl>
    <w:p w14:paraId="540F5034" w14:textId="77777777" w:rsidR="00BA301C" w:rsidRDefault="00000000">
      <w:pPr>
        <w:pStyle w:val="afffff5"/>
        <w:spacing w:line="360" w:lineRule="auto"/>
        <w:ind w:firstLine="420"/>
        <w:rPr>
          <w:color w:val="000000" w:themeColor="text1"/>
          <w:kern w:val="2"/>
          <w:sz w:val="24"/>
          <w:szCs w:val="24"/>
        </w:rPr>
      </w:pPr>
      <w:r>
        <w:rPr>
          <w:rFonts w:hint="eastAsia"/>
          <w:color w:val="000000" w:themeColor="text1"/>
        </w:rPr>
        <w:t>说明：商运两年内（含2年）的机组，定义为新机组。WANO先进值、中值使用上一年度数据。</w:t>
      </w:r>
    </w:p>
    <w:p w14:paraId="6A84BB52" w14:textId="77777777" w:rsidR="00BA301C" w:rsidRDefault="00000000">
      <w:pPr>
        <w:pStyle w:val="aff4"/>
        <w:spacing w:before="120" w:after="120" w:line="360" w:lineRule="auto"/>
        <w:rPr>
          <w:color w:val="000000" w:themeColor="text1"/>
        </w:rPr>
      </w:pPr>
      <w:r>
        <w:rPr>
          <w:rFonts w:hint="eastAsia"/>
          <w:color w:val="000000" w:themeColor="text1"/>
        </w:rPr>
        <w:t>十大缺陷</w:t>
      </w:r>
    </w:p>
    <w:p w14:paraId="0113303B" w14:textId="77777777" w:rsidR="00BA301C" w:rsidRDefault="00000000">
      <w:pPr>
        <w:pStyle w:val="afffff5"/>
        <w:spacing w:line="360" w:lineRule="auto"/>
        <w:ind w:firstLine="420"/>
        <w:rPr>
          <w:color w:val="000000" w:themeColor="text1"/>
        </w:rPr>
      </w:pPr>
      <w:r>
        <w:rPr>
          <w:rFonts w:hint="eastAsia"/>
          <w:color w:val="000000" w:themeColor="text1"/>
        </w:rPr>
        <w:t>定义：十大缺陷是指那些需要在日常计划中安排处理的且符合以下条件的重要缺陷，不包括需要紧急处理的缺陷和经项目风险分析后确定作为遗留项遗留到停机、停堆、大修处理的缺陷。</w:t>
      </w:r>
    </w:p>
    <w:p w14:paraId="582DE913"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数据项：每月以机组为单位统计十大缺陷数量。</w:t>
      </w:r>
    </w:p>
    <w:p w14:paraId="74536D18" w14:textId="77777777" w:rsidR="00BA301C" w:rsidRDefault="00000000">
      <w:pPr>
        <w:pStyle w:val="afffff5"/>
        <w:spacing w:line="360" w:lineRule="auto"/>
        <w:ind w:firstLine="420"/>
        <w:rPr>
          <w:color w:val="000000" w:themeColor="text1"/>
        </w:rPr>
      </w:pPr>
      <w:r>
        <w:rPr>
          <w:rFonts w:hint="eastAsia"/>
          <w:color w:val="000000" w:themeColor="text1"/>
        </w:rPr>
        <w:t>计算方法：每月以机组为单位统计十大缺陷数量。</w:t>
      </w:r>
    </w:p>
    <w:p w14:paraId="3F8D2C4D" w14:textId="77777777" w:rsidR="00BA301C" w:rsidRDefault="00000000">
      <w:pPr>
        <w:pStyle w:val="afffff5"/>
        <w:spacing w:line="360" w:lineRule="auto"/>
        <w:ind w:firstLine="420"/>
        <w:rPr>
          <w:color w:val="000000" w:themeColor="text1"/>
          <w:sz w:val="18"/>
          <w:szCs w:val="18"/>
        </w:rPr>
      </w:pPr>
      <w:r>
        <w:rPr>
          <w:rFonts w:hint="eastAsia"/>
          <w:color w:val="000000" w:themeColor="text1"/>
        </w:rPr>
        <w:t>指标状态判定准则：</w:t>
      </w:r>
      <w:r>
        <w:rPr>
          <w:color w:val="000000" w:themeColor="text1"/>
          <w:sz w:val="18"/>
          <w:szCs w:val="18"/>
        </w:rPr>
        <w:t xml:space="preserve"> </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410EBB2" w14:textId="77777777">
        <w:trPr>
          <w:tblHeader/>
          <w:jc w:val="center"/>
        </w:trPr>
        <w:tc>
          <w:tcPr>
            <w:tcW w:w="3110" w:type="dxa"/>
            <w:tcBorders>
              <w:top w:val="single" w:sz="8" w:space="0" w:color="auto"/>
              <w:bottom w:val="single" w:sz="8" w:space="0" w:color="auto"/>
            </w:tcBorders>
          </w:tcPr>
          <w:p w14:paraId="25E9661C"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05FEF560"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21181601"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53CAF702" w14:textId="77777777">
        <w:trPr>
          <w:jc w:val="center"/>
        </w:trPr>
        <w:tc>
          <w:tcPr>
            <w:tcW w:w="3110" w:type="dxa"/>
            <w:tcBorders>
              <w:top w:val="single" w:sz="8" w:space="0" w:color="auto"/>
            </w:tcBorders>
          </w:tcPr>
          <w:p w14:paraId="082EE282"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指标值＜5</w:t>
            </w:r>
          </w:p>
        </w:tc>
        <w:tc>
          <w:tcPr>
            <w:tcW w:w="3112" w:type="dxa"/>
            <w:tcBorders>
              <w:top w:val="single" w:sz="8" w:space="0" w:color="auto"/>
            </w:tcBorders>
          </w:tcPr>
          <w:p w14:paraId="09B45CB6" w14:textId="77777777" w:rsidR="00BA301C" w:rsidRDefault="00000000">
            <w:pPr>
              <w:pStyle w:val="afffffffff9"/>
              <w:spacing w:line="360" w:lineRule="auto"/>
              <w:rPr>
                <w:color w:val="000000" w:themeColor="text1"/>
                <w:szCs w:val="18"/>
              </w:rPr>
            </w:pPr>
            <w:r>
              <w:rPr>
                <w:rFonts w:hAnsi="宋体" w:hint="eastAsia"/>
                <w:color w:val="000000" w:themeColor="text1"/>
                <w:szCs w:val="18"/>
              </w:rPr>
              <w:t>10≥指标值≥5</w:t>
            </w:r>
          </w:p>
        </w:tc>
        <w:tc>
          <w:tcPr>
            <w:tcW w:w="3112" w:type="dxa"/>
            <w:tcBorders>
              <w:top w:val="single" w:sz="8" w:space="0" w:color="auto"/>
            </w:tcBorders>
          </w:tcPr>
          <w:p w14:paraId="67557088"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指标值＞10</w:t>
            </w:r>
          </w:p>
        </w:tc>
      </w:tr>
    </w:tbl>
    <w:p w14:paraId="2C72ED42" w14:textId="77777777" w:rsidR="00BA301C" w:rsidRDefault="00000000">
      <w:pPr>
        <w:pStyle w:val="aff4"/>
        <w:spacing w:before="120" w:after="120" w:line="360" w:lineRule="auto"/>
        <w:rPr>
          <w:color w:val="000000" w:themeColor="text1"/>
        </w:rPr>
      </w:pPr>
      <w:r>
        <w:rPr>
          <w:rFonts w:hint="eastAsia"/>
          <w:color w:val="000000" w:themeColor="text1"/>
        </w:rPr>
        <w:t>高压安注系统</w:t>
      </w:r>
      <w:proofErr w:type="gramStart"/>
      <w:r>
        <w:rPr>
          <w:rFonts w:hint="eastAsia"/>
          <w:color w:val="000000" w:themeColor="text1"/>
        </w:rPr>
        <w:t>不</w:t>
      </w:r>
      <w:proofErr w:type="gramEnd"/>
      <w:r>
        <w:rPr>
          <w:rFonts w:hint="eastAsia"/>
          <w:color w:val="000000" w:themeColor="text1"/>
        </w:rPr>
        <w:t>可用度</w:t>
      </w:r>
    </w:p>
    <w:p w14:paraId="5004B52C" w14:textId="77777777" w:rsidR="00BA301C" w:rsidRDefault="00000000">
      <w:pPr>
        <w:pStyle w:val="afffff5"/>
        <w:spacing w:line="360" w:lineRule="auto"/>
        <w:ind w:firstLine="420"/>
        <w:rPr>
          <w:color w:val="000000" w:themeColor="text1"/>
        </w:rPr>
      </w:pPr>
      <w:r>
        <w:rPr>
          <w:rFonts w:hint="eastAsia"/>
          <w:color w:val="000000" w:themeColor="text1"/>
        </w:rPr>
        <w:t>定义：该指标与WANO SP1定义保持一致。给定时间内高压安</w:t>
      </w:r>
      <w:proofErr w:type="gramStart"/>
      <w:r>
        <w:rPr>
          <w:rFonts w:hint="eastAsia"/>
          <w:color w:val="000000" w:themeColor="text1"/>
        </w:rPr>
        <w:t>注系统</w:t>
      </w:r>
      <w:proofErr w:type="gramEnd"/>
      <w:r>
        <w:rPr>
          <w:rFonts w:hint="eastAsia"/>
          <w:color w:val="000000" w:themeColor="text1"/>
        </w:rPr>
        <w:t>中独立系列的平均</w:t>
      </w:r>
      <w:proofErr w:type="gramStart"/>
      <w:r>
        <w:rPr>
          <w:rFonts w:hint="eastAsia"/>
          <w:color w:val="000000" w:themeColor="text1"/>
        </w:rPr>
        <w:t>不</w:t>
      </w:r>
      <w:proofErr w:type="gramEnd"/>
      <w:r>
        <w:rPr>
          <w:rFonts w:hint="eastAsia"/>
          <w:color w:val="000000" w:themeColor="text1"/>
        </w:rPr>
        <w:t>可用度</w:t>
      </w:r>
    </w:p>
    <w:p w14:paraId="5FA73BAA"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数据项：本指标需每月以机组为单位统计滚动12个月的高压安注系统</w:t>
      </w:r>
      <w:proofErr w:type="gramStart"/>
      <w:r>
        <w:rPr>
          <w:rFonts w:hint="eastAsia"/>
          <w:color w:val="000000" w:themeColor="text1"/>
        </w:rPr>
        <w:t>不</w:t>
      </w:r>
      <w:proofErr w:type="gramEnd"/>
      <w:r>
        <w:rPr>
          <w:rFonts w:hint="eastAsia"/>
          <w:color w:val="000000" w:themeColor="text1"/>
        </w:rPr>
        <w:t>可用度。</w:t>
      </w:r>
    </w:p>
    <w:p w14:paraId="2DA8CB11"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3F830AA4"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宋体" w:hint="eastAsia"/>
                  <w:color w:val="000000" w:themeColor="text1"/>
                </w:rPr>
                <m:t>计划不可用时间</m:t>
              </m:r>
              <m:r>
                <m:rPr>
                  <m:sty m:val="p"/>
                </m:rPr>
                <w:rPr>
                  <w:rFonts w:ascii="Cambria Math" w:hAnsi="宋体"/>
                  <w:color w:val="000000" w:themeColor="text1"/>
                </w:rPr>
                <m:t>+</m:t>
              </m:r>
              <m:r>
                <m:rPr>
                  <m:sty m:val="p"/>
                </m:rPr>
                <w:rPr>
                  <w:rFonts w:ascii="Cambria Math" w:hAnsi="宋体" w:hint="eastAsia"/>
                  <w:color w:val="000000" w:themeColor="text1"/>
                </w:rPr>
                <m:t>非计划不可用时间</m:t>
              </m:r>
              <m:r>
                <m:rPr>
                  <m:sty m:val="p"/>
                </m:rPr>
                <w:rPr>
                  <w:rFonts w:ascii="Cambria Math" w:hAnsi="宋体" w:hint="eastAsia"/>
                  <w:color w:val="000000" w:themeColor="text1"/>
                </w:rPr>
                <m:t>+</m:t>
              </m:r>
              <m:r>
                <m:rPr>
                  <m:sty m:val="p"/>
                </m:rPr>
                <w:rPr>
                  <w:rFonts w:ascii="Cambria Math" w:hAnsi="宋体" w:hint="eastAsia"/>
                  <w:color w:val="000000" w:themeColor="text1"/>
                </w:rPr>
                <m:t>故障暴露前不可用时间</m:t>
              </m:r>
            </m:num>
            <m:den>
              <m:r>
                <m:rPr>
                  <m:sty m:val="p"/>
                </m:rPr>
                <w:rPr>
                  <w:rFonts w:ascii="Cambria Math" w:hAnsi="Cambria Math" w:hint="eastAsia"/>
                  <w:color w:val="000000" w:themeColor="text1"/>
                </w:rPr>
                <m:t>系统要求可用时间</m:t>
              </m:r>
              <m:r>
                <m:rPr>
                  <m:sty m:val="p"/>
                </m:rPr>
                <w:rPr>
                  <w:rFonts w:ascii="Cambria Math" w:eastAsiaTheme="minorEastAsia" w:hAnsi="Cambria Math" w:cs="MS Gothic" w:hint="eastAsia"/>
                  <w:color w:val="000000" w:themeColor="text1"/>
                </w:rPr>
                <m:t>×</m:t>
              </m:r>
              <m:r>
                <m:rPr>
                  <m:sty m:val="p"/>
                </m:rPr>
                <w:rPr>
                  <w:rFonts w:ascii="Cambria Math" w:hAnsi="Cambria Math" w:hint="eastAsia"/>
                  <w:color w:val="000000" w:themeColor="text1"/>
                </w:rPr>
                <m:t>系统列数</m:t>
              </m:r>
            </m:den>
          </m:f>
        </m:oMath>
      </m:oMathPara>
    </w:p>
    <w:p w14:paraId="213C09A6"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19102AA5" w14:textId="77777777">
        <w:trPr>
          <w:tblHeader/>
          <w:jc w:val="center"/>
        </w:trPr>
        <w:tc>
          <w:tcPr>
            <w:tcW w:w="3110" w:type="dxa"/>
            <w:tcBorders>
              <w:top w:val="single" w:sz="8" w:space="0" w:color="auto"/>
              <w:bottom w:val="single" w:sz="8" w:space="0" w:color="auto"/>
            </w:tcBorders>
          </w:tcPr>
          <w:p w14:paraId="174AF781"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3205CD4E"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23A20114"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7F14A05B" w14:textId="77777777">
        <w:trPr>
          <w:jc w:val="center"/>
        </w:trPr>
        <w:tc>
          <w:tcPr>
            <w:tcW w:w="3110" w:type="dxa"/>
            <w:tcBorders>
              <w:top w:val="single" w:sz="8" w:space="0" w:color="auto"/>
            </w:tcBorders>
          </w:tcPr>
          <w:p w14:paraId="1C40AF45"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指标值≤0.00001</w:t>
            </w:r>
          </w:p>
        </w:tc>
        <w:tc>
          <w:tcPr>
            <w:tcW w:w="3112" w:type="dxa"/>
            <w:tcBorders>
              <w:top w:val="single" w:sz="8" w:space="0" w:color="auto"/>
            </w:tcBorders>
          </w:tcPr>
          <w:p w14:paraId="7890ADCC"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0.0003≥指标值＞0.00001</w:t>
            </w:r>
          </w:p>
        </w:tc>
        <w:tc>
          <w:tcPr>
            <w:tcW w:w="3112" w:type="dxa"/>
            <w:tcBorders>
              <w:top w:val="single" w:sz="8" w:space="0" w:color="auto"/>
            </w:tcBorders>
          </w:tcPr>
          <w:p w14:paraId="6168731A"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指标值＞0.0003</w:t>
            </w:r>
          </w:p>
        </w:tc>
      </w:tr>
    </w:tbl>
    <w:p w14:paraId="5558C32F" w14:textId="77777777" w:rsidR="00BA301C" w:rsidRDefault="00000000">
      <w:pPr>
        <w:pStyle w:val="aff4"/>
        <w:spacing w:before="120" w:after="120" w:line="360" w:lineRule="auto"/>
        <w:rPr>
          <w:color w:val="000000" w:themeColor="text1"/>
        </w:rPr>
      </w:pPr>
      <w:r>
        <w:rPr>
          <w:rFonts w:hint="eastAsia"/>
          <w:color w:val="000000" w:themeColor="text1"/>
        </w:rPr>
        <w:t>辅助给水系统</w:t>
      </w:r>
      <w:proofErr w:type="gramStart"/>
      <w:r>
        <w:rPr>
          <w:rFonts w:hint="eastAsia"/>
          <w:color w:val="000000" w:themeColor="text1"/>
        </w:rPr>
        <w:t>不</w:t>
      </w:r>
      <w:proofErr w:type="gramEnd"/>
      <w:r>
        <w:rPr>
          <w:rFonts w:hint="eastAsia"/>
          <w:color w:val="000000" w:themeColor="text1"/>
        </w:rPr>
        <w:t>可用度</w:t>
      </w:r>
    </w:p>
    <w:p w14:paraId="4944D34A" w14:textId="77777777" w:rsidR="00BA301C" w:rsidRDefault="00000000">
      <w:pPr>
        <w:pStyle w:val="afffff5"/>
        <w:spacing w:line="360" w:lineRule="auto"/>
        <w:ind w:firstLine="420"/>
        <w:rPr>
          <w:color w:val="000000" w:themeColor="text1"/>
        </w:rPr>
      </w:pPr>
      <w:r>
        <w:rPr>
          <w:rFonts w:hint="eastAsia"/>
          <w:color w:val="000000" w:themeColor="text1"/>
        </w:rPr>
        <w:t>定义：该指标与WANO SP2定义保持一致。给定时间内辅助给水系统中独立系列的平均</w:t>
      </w:r>
      <w:proofErr w:type="gramStart"/>
      <w:r>
        <w:rPr>
          <w:rFonts w:hint="eastAsia"/>
          <w:color w:val="000000" w:themeColor="text1"/>
        </w:rPr>
        <w:t>不</w:t>
      </w:r>
      <w:proofErr w:type="gramEnd"/>
      <w:r>
        <w:rPr>
          <w:rFonts w:hint="eastAsia"/>
          <w:color w:val="000000" w:themeColor="text1"/>
        </w:rPr>
        <w:t>可用度。</w:t>
      </w:r>
    </w:p>
    <w:p w14:paraId="706AA954"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数据项：本指标需每月以机组为单位统计滚动12个月的辅助给水系统</w:t>
      </w:r>
      <w:proofErr w:type="gramStart"/>
      <w:r>
        <w:rPr>
          <w:rFonts w:hint="eastAsia"/>
          <w:color w:val="000000" w:themeColor="text1"/>
        </w:rPr>
        <w:t>不</w:t>
      </w:r>
      <w:proofErr w:type="gramEnd"/>
      <w:r>
        <w:rPr>
          <w:rFonts w:hint="eastAsia"/>
          <w:color w:val="000000" w:themeColor="text1"/>
        </w:rPr>
        <w:t>可用度。</w:t>
      </w:r>
    </w:p>
    <w:p w14:paraId="46EEE77D"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56337682"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w:lastRenderedPageBreak/>
            <m:t>=</m:t>
          </m:r>
          <m:f>
            <m:fPr>
              <m:ctrlPr>
                <w:rPr>
                  <w:rFonts w:ascii="Cambria Math" w:hAnsi="Cambria Math"/>
                  <w:color w:val="000000" w:themeColor="text1"/>
                </w:rPr>
              </m:ctrlPr>
            </m:fPr>
            <m:num>
              <m:r>
                <m:rPr>
                  <m:sty m:val="p"/>
                </m:rPr>
                <w:rPr>
                  <w:rFonts w:ascii="Cambria Math" w:hAnsi="宋体" w:hint="eastAsia"/>
                  <w:color w:val="000000" w:themeColor="text1"/>
                </w:rPr>
                <m:t>计划不可用时间</m:t>
              </m:r>
              <m:r>
                <m:rPr>
                  <m:sty m:val="p"/>
                </m:rPr>
                <w:rPr>
                  <w:rFonts w:ascii="Cambria Math" w:hAnsi="宋体"/>
                  <w:color w:val="000000" w:themeColor="text1"/>
                </w:rPr>
                <m:t>+</m:t>
              </m:r>
              <m:r>
                <m:rPr>
                  <m:sty m:val="p"/>
                </m:rPr>
                <w:rPr>
                  <w:rFonts w:ascii="Cambria Math" w:hAnsi="宋体" w:hint="eastAsia"/>
                  <w:color w:val="000000" w:themeColor="text1"/>
                </w:rPr>
                <m:t>非计划不可用时间</m:t>
              </m:r>
              <m:r>
                <m:rPr>
                  <m:sty m:val="p"/>
                </m:rPr>
                <w:rPr>
                  <w:rFonts w:ascii="Cambria Math" w:hAnsi="宋体" w:hint="eastAsia"/>
                  <w:color w:val="000000" w:themeColor="text1"/>
                </w:rPr>
                <m:t>+</m:t>
              </m:r>
              <m:r>
                <m:rPr>
                  <m:sty m:val="p"/>
                </m:rPr>
                <w:rPr>
                  <w:rFonts w:ascii="Cambria Math" w:hAnsi="宋体" w:hint="eastAsia"/>
                  <w:color w:val="000000" w:themeColor="text1"/>
                </w:rPr>
                <m:t>故障暴露前不可用时间</m:t>
              </m:r>
            </m:num>
            <m:den>
              <m:r>
                <m:rPr>
                  <m:sty m:val="p"/>
                </m:rPr>
                <w:rPr>
                  <w:rFonts w:ascii="Cambria Math" w:hAnsi="Cambria Math" w:hint="eastAsia"/>
                  <w:color w:val="000000" w:themeColor="text1"/>
                </w:rPr>
                <m:t>系统要求可用时间</m:t>
              </m:r>
              <m:r>
                <m:rPr>
                  <m:sty m:val="p"/>
                </m:rPr>
                <w:rPr>
                  <w:rFonts w:ascii="Cambria Math" w:eastAsiaTheme="minorEastAsia" w:hAnsi="Cambria Math" w:cs="MS Gothic" w:hint="eastAsia"/>
                  <w:color w:val="000000" w:themeColor="text1"/>
                </w:rPr>
                <m:t>×</m:t>
              </m:r>
              <m:r>
                <m:rPr>
                  <m:sty m:val="p"/>
                </m:rPr>
                <w:rPr>
                  <w:rFonts w:ascii="Cambria Math" w:hAnsi="Cambria Math" w:hint="eastAsia"/>
                  <w:color w:val="000000" w:themeColor="text1"/>
                </w:rPr>
                <m:t>系统列数</m:t>
              </m:r>
            </m:den>
          </m:f>
        </m:oMath>
      </m:oMathPara>
    </w:p>
    <w:p w14:paraId="0F5639BD"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24D07629" w14:textId="77777777">
        <w:trPr>
          <w:tblHeader/>
          <w:jc w:val="center"/>
        </w:trPr>
        <w:tc>
          <w:tcPr>
            <w:tcW w:w="3110" w:type="dxa"/>
            <w:tcBorders>
              <w:top w:val="single" w:sz="8" w:space="0" w:color="auto"/>
              <w:bottom w:val="single" w:sz="8" w:space="0" w:color="auto"/>
            </w:tcBorders>
          </w:tcPr>
          <w:p w14:paraId="79F1B956"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4960027E"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034C6522"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65CC803D" w14:textId="77777777">
        <w:trPr>
          <w:jc w:val="center"/>
        </w:trPr>
        <w:tc>
          <w:tcPr>
            <w:tcW w:w="3110" w:type="dxa"/>
            <w:tcBorders>
              <w:top w:val="single" w:sz="8" w:space="0" w:color="auto"/>
            </w:tcBorders>
          </w:tcPr>
          <w:p w14:paraId="6C51CE33"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指标值≤0.00001</w:t>
            </w:r>
          </w:p>
        </w:tc>
        <w:tc>
          <w:tcPr>
            <w:tcW w:w="3112" w:type="dxa"/>
            <w:tcBorders>
              <w:top w:val="single" w:sz="8" w:space="0" w:color="auto"/>
            </w:tcBorders>
          </w:tcPr>
          <w:p w14:paraId="19605A10"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0.0003≥指标值＞0.00001</w:t>
            </w:r>
          </w:p>
        </w:tc>
        <w:tc>
          <w:tcPr>
            <w:tcW w:w="3112" w:type="dxa"/>
            <w:tcBorders>
              <w:top w:val="single" w:sz="8" w:space="0" w:color="auto"/>
            </w:tcBorders>
          </w:tcPr>
          <w:p w14:paraId="206BE212"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指标值＞0.0003</w:t>
            </w:r>
          </w:p>
        </w:tc>
      </w:tr>
    </w:tbl>
    <w:p w14:paraId="71608ABC" w14:textId="77777777" w:rsidR="00BA301C" w:rsidRDefault="00000000">
      <w:pPr>
        <w:pStyle w:val="aff4"/>
        <w:spacing w:before="120" w:after="120" w:line="360" w:lineRule="auto"/>
        <w:rPr>
          <w:color w:val="000000" w:themeColor="text1"/>
        </w:rPr>
      </w:pPr>
      <w:r>
        <w:rPr>
          <w:rFonts w:hint="eastAsia"/>
          <w:color w:val="000000" w:themeColor="text1"/>
        </w:rPr>
        <w:t>应急交流电系统</w:t>
      </w:r>
      <w:proofErr w:type="gramStart"/>
      <w:r>
        <w:rPr>
          <w:rFonts w:hint="eastAsia"/>
          <w:color w:val="000000" w:themeColor="text1"/>
        </w:rPr>
        <w:t>不</w:t>
      </w:r>
      <w:proofErr w:type="gramEnd"/>
      <w:r>
        <w:rPr>
          <w:rFonts w:hint="eastAsia"/>
          <w:color w:val="000000" w:themeColor="text1"/>
        </w:rPr>
        <w:t>可用度</w:t>
      </w:r>
    </w:p>
    <w:p w14:paraId="1FB741B0" w14:textId="77777777" w:rsidR="00BA301C" w:rsidRDefault="00000000">
      <w:pPr>
        <w:pStyle w:val="afffff5"/>
        <w:spacing w:line="360" w:lineRule="auto"/>
        <w:ind w:firstLine="420"/>
        <w:rPr>
          <w:color w:val="000000" w:themeColor="text1"/>
        </w:rPr>
      </w:pPr>
      <w:r>
        <w:rPr>
          <w:rFonts w:hint="eastAsia"/>
          <w:color w:val="000000" w:themeColor="text1"/>
        </w:rPr>
        <w:t>定义：该指标与WANO SP5定义保持一致。给定时间内设应急交流电系统中独立系列的平均</w:t>
      </w:r>
      <w:proofErr w:type="gramStart"/>
      <w:r>
        <w:rPr>
          <w:rFonts w:hint="eastAsia"/>
          <w:color w:val="000000" w:themeColor="text1"/>
        </w:rPr>
        <w:t>不</w:t>
      </w:r>
      <w:proofErr w:type="gramEnd"/>
      <w:r>
        <w:rPr>
          <w:rFonts w:hint="eastAsia"/>
          <w:color w:val="000000" w:themeColor="text1"/>
        </w:rPr>
        <w:t>可用度。</w:t>
      </w:r>
    </w:p>
    <w:p w14:paraId="545FCC49"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数据项：本指标需每月以机组为单位统计滚动12个月的应急交流电系统</w:t>
      </w:r>
      <w:proofErr w:type="gramStart"/>
      <w:r>
        <w:rPr>
          <w:rFonts w:hint="eastAsia"/>
          <w:color w:val="000000" w:themeColor="text1"/>
        </w:rPr>
        <w:t>不</w:t>
      </w:r>
      <w:proofErr w:type="gramEnd"/>
      <w:r>
        <w:rPr>
          <w:rFonts w:hint="eastAsia"/>
          <w:color w:val="000000" w:themeColor="text1"/>
        </w:rPr>
        <w:t>可用度。</w:t>
      </w:r>
    </w:p>
    <w:p w14:paraId="7A2CF411"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299C316E"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宋体" w:hint="eastAsia"/>
                  <w:color w:val="000000" w:themeColor="text1"/>
                </w:rPr>
                <m:t>计划不可用时间</m:t>
              </m:r>
              <m:r>
                <m:rPr>
                  <m:sty m:val="p"/>
                </m:rPr>
                <w:rPr>
                  <w:rFonts w:ascii="Cambria Math" w:hAnsi="宋体"/>
                  <w:color w:val="000000" w:themeColor="text1"/>
                </w:rPr>
                <m:t>+</m:t>
              </m:r>
              <m:r>
                <m:rPr>
                  <m:sty m:val="p"/>
                </m:rPr>
                <w:rPr>
                  <w:rFonts w:ascii="Cambria Math" w:hAnsi="宋体" w:hint="eastAsia"/>
                  <w:color w:val="000000" w:themeColor="text1"/>
                </w:rPr>
                <m:t>非计划不可用时间</m:t>
              </m:r>
              <m:r>
                <m:rPr>
                  <m:sty m:val="p"/>
                </m:rPr>
                <w:rPr>
                  <w:rFonts w:ascii="Cambria Math" w:hAnsi="宋体" w:hint="eastAsia"/>
                  <w:color w:val="000000" w:themeColor="text1"/>
                </w:rPr>
                <m:t>+</m:t>
              </m:r>
              <m:r>
                <m:rPr>
                  <m:sty m:val="p"/>
                </m:rPr>
                <w:rPr>
                  <w:rFonts w:ascii="Cambria Math" w:hAnsi="宋体" w:hint="eastAsia"/>
                  <w:color w:val="000000" w:themeColor="text1"/>
                </w:rPr>
                <m:t>故障暴露前不可用时间</m:t>
              </m:r>
            </m:num>
            <m:den>
              <m:r>
                <m:rPr>
                  <m:sty m:val="p"/>
                </m:rPr>
                <w:rPr>
                  <w:rFonts w:ascii="Cambria Math" w:hAnsi="Cambria Math" w:hint="eastAsia"/>
                  <w:color w:val="000000" w:themeColor="text1"/>
                </w:rPr>
                <m:t>系统要求可用时间</m:t>
              </m:r>
              <m:r>
                <m:rPr>
                  <m:sty m:val="p"/>
                </m:rPr>
                <w:rPr>
                  <w:rFonts w:ascii="Cambria Math" w:eastAsiaTheme="minorEastAsia" w:hAnsi="Cambria Math" w:cs="MS Gothic" w:hint="eastAsia"/>
                  <w:color w:val="000000" w:themeColor="text1"/>
                </w:rPr>
                <m:t>×</m:t>
              </m:r>
              <m:r>
                <m:rPr>
                  <m:sty m:val="p"/>
                </m:rPr>
                <w:rPr>
                  <w:rFonts w:ascii="Cambria Math" w:hAnsi="Cambria Math" w:hint="eastAsia"/>
                  <w:color w:val="000000" w:themeColor="text1"/>
                </w:rPr>
                <m:t>系统列数</m:t>
              </m:r>
            </m:den>
          </m:f>
        </m:oMath>
      </m:oMathPara>
    </w:p>
    <w:p w14:paraId="6821092C"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15A27ADE" w14:textId="77777777">
        <w:trPr>
          <w:tblHeader/>
          <w:jc w:val="center"/>
        </w:trPr>
        <w:tc>
          <w:tcPr>
            <w:tcW w:w="3110" w:type="dxa"/>
            <w:tcBorders>
              <w:top w:val="single" w:sz="8" w:space="0" w:color="auto"/>
              <w:bottom w:val="single" w:sz="8" w:space="0" w:color="auto"/>
            </w:tcBorders>
          </w:tcPr>
          <w:p w14:paraId="5669D05F"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346BC23A"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2506EC43"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4068A07E" w14:textId="77777777">
        <w:trPr>
          <w:jc w:val="center"/>
        </w:trPr>
        <w:tc>
          <w:tcPr>
            <w:tcW w:w="3110" w:type="dxa"/>
            <w:tcBorders>
              <w:top w:val="single" w:sz="8" w:space="0" w:color="auto"/>
            </w:tcBorders>
          </w:tcPr>
          <w:p w14:paraId="155056CA"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≤0.00001</w:t>
            </w:r>
          </w:p>
        </w:tc>
        <w:tc>
          <w:tcPr>
            <w:tcW w:w="3112" w:type="dxa"/>
            <w:tcBorders>
              <w:top w:val="single" w:sz="8" w:space="0" w:color="auto"/>
            </w:tcBorders>
          </w:tcPr>
          <w:p w14:paraId="461E4971"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0.0016≥指标值＞0.00001</w:t>
            </w:r>
          </w:p>
        </w:tc>
        <w:tc>
          <w:tcPr>
            <w:tcW w:w="3112" w:type="dxa"/>
            <w:tcBorders>
              <w:top w:val="single" w:sz="8" w:space="0" w:color="auto"/>
            </w:tcBorders>
          </w:tcPr>
          <w:p w14:paraId="12F44786"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＞0.0016</w:t>
            </w:r>
          </w:p>
        </w:tc>
      </w:tr>
    </w:tbl>
    <w:p w14:paraId="08E1E030" w14:textId="77777777" w:rsidR="00BA301C" w:rsidRDefault="00000000">
      <w:pPr>
        <w:pStyle w:val="aff4"/>
        <w:spacing w:before="120" w:after="120" w:line="360" w:lineRule="auto"/>
        <w:rPr>
          <w:color w:val="000000" w:themeColor="text1"/>
        </w:rPr>
      </w:pPr>
      <w:r>
        <w:rPr>
          <w:rFonts w:hint="eastAsia"/>
          <w:color w:val="000000" w:themeColor="text1"/>
        </w:rPr>
        <w:t>临时变更数量</w:t>
      </w:r>
    </w:p>
    <w:p w14:paraId="5C623FD1" w14:textId="77777777" w:rsidR="00BA301C" w:rsidRDefault="00000000">
      <w:pPr>
        <w:pStyle w:val="afffff5"/>
        <w:spacing w:line="360" w:lineRule="auto"/>
        <w:ind w:firstLine="420"/>
        <w:rPr>
          <w:color w:val="000000" w:themeColor="text1"/>
        </w:rPr>
      </w:pPr>
      <w:r>
        <w:rPr>
          <w:rFonts w:hint="eastAsia"/>
          <w:color w:val="000000" w:themeColor="text1"/>
        </w:rPr>
        <w:t>定义：给定时间内，机组产生的临时变更数量。</w:t>
      </w:r>
    </w:p>
    <w:p w14:paraId="40371F79"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数据项：本指标需每月以机组为单位统计月末存在的临时变更数量。</w:t>
      </w:r>
    </w:p>
    <w:p w14:paraId="1DBF4A0A" w14:textId="77777777" w:rsidR="00BA301C" w:rsidRDefault="00000000">
      <w:pPr>
        <w:pStyle w:val="afffff5"/>
        <w:spacing w:line="360" w:lineRule="auto"/>
        <w:ind w:firstLine="420"/>
        <w:rPr>
          <w:color w:val="000000" w:themeColor="text1"/>
        </w:rPr>
      </w:pPr>
      <w:r>
        <w:rPr>
          <w:rFonts w:hint="eastAsia"/>
          <w:color w:val="000000" w:themeColor="text1"/>
        </w:rPr>
        <w:t>计算方法：记录机组在月末存在的临时变更数量。</w:t>
      </w:r>
    </w:p>
    <w:p w14:paraId="4E881662"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401A1BD5" w14:textId="77777777">
        <w:trPr>
          <w:tblHeader/>
          <w:jc w:val="center"/>
        </w:trPr>
        <w:tc>
          <w:tcPr>
            <w:tcW w:w="3110" w:type="dxa"/>
            <w:tcBorders>
              <w:top w:val="single" w:sz="8" w:space="0" w:color="auto"/>
              <w:bottom w:val="single" w:sz="8" w:space="0" w:color="auto"/>
            </w:tcBorders>
          </w:tcPr>
          <w:p w14:paraId="55CF82A5"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14D3D401"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1D78D899"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7C56ED98" w14:textId="77777777">
        <w:trPr>
          <w:jc w:val="center"/>
        </w:trPr>
        <w:tc>
          <w:tcPr>
            <w:tcW w:w="3110" w:type="dxa"/>
            <w:tcBorders>
              <w:top w:val="single" w:sz="8" w:space="0" w:color="auto"/>
            </w:tcBorders>
          </w:tcPr>
          <w:p w14:paraId="44AA8156"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指标值≤10</w:t>
            </w:r>
          </w:p>
        </w:tc>
        <w:tc>
          <w:tcPr>
            <w:tcW w:w="3112" w:type="dxa"/>
            <w:tcBorders>
              <w:top w:val="single" w:sz="8" w:space="0" w:color="auto"/>
            </w:tcBorders>
          </w:tcPr>
          <w:p w14:paraId="5C309A9B" w14:textId="77777777" w:rsidR="00BA301C" w:rsidRDefault="00000000">
            <w:pPr>
              <w:pStyle w:val="afffffffff9"/>
              <w:spacing w:line="360" w:lineRule="auto"/>
              <w:rPr>
                <w:color w:val="000000" w:themeColor="text1"/>
                <w:szCs w:val="18"/>
              </w:rPr>
            </w:pPr>
            <w:r>
              <w:rPr>
                <w:rFonts w:hAnsi="宋体" w:hint="eastAsia"/>
                <w:color w:val="000000" w:themeColor="text1"/>
                <w:szCs w:val="18"/>
              </w:rPr>
              <w:t>20＞指标值＞10</w:t>
            </w:r>
          </w:p>
        </w:tc>
        <w:tc>
          <w:tcPr>
            <w:tcW w:w="3112" w:type="dxa"/>
            <w:tcBorders>
              <w:top w:val="single" w:sz="8" w:space="0" w:color="auto"/>
            </w:tcBorders>
          </w:tcPr>
          <w:p w14:paraId="4FA80865"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指标值≥20</w:t>
            </w:r>
          </w:p>
        </w:tc>
      </w:tr>
    </w:tbl>
    <w:p w14:paraId="2DE5D76E" w14:textId="77777777" w:rsidR="00BA301C" w:rsidRDefault="00000000">
      <w:pPr>
        <w:pStyle w:val="aff4"/>
        <w:spacing w:before="120" w:after="120" w:line="360" w:lineRule="auto"/>
        <w:rPr>
          <w:color w:val="000000" w:themeColor="text1"/>
        </w:rPr>
      </w:pPr>
      <w:r>
        <w:rPr>
          <w:rFonts w:hint="eastAsia"/>
          <w:color w:val="000000" w:themeColor="text1"/>
        </w:rPr>
        <w:t>燃料可靠性指数</w:t>
      </w:r>
    </w:p>
    <w:p w14:paraId="65867080" w14:textId="77777777" w:rsidR="00BA301C" w:rsidRDefault="00000000">
      <w:pPr>
        <w:pStyle w:val="afffff5"/>
        <w:spacing w:line="360" w:lineRule="auto"/>
        <w:ind w:firstLine="420"/>
        <w:rPr>
          <w:color w:val="000000" w:themeColor="text1"/>
        </w:rPr>
      </w:pPr>
      <w:r>
        <w:rPr>
          <w:rFonts w:hint="eastAsia"/>
          <w:color w:val="000000" w:themeColor="text1"/>
        </w:rPr>
        <w:t>定义：对于压水堆（含WWER）、重水堆，燃料可靠性定义为：稳态条件下一回路冷却剂中I-131 的活度(Bq/g)，同时该活度通过粘附</w:t>
      </w:r>
      <w:proofErr w:type="gramStart"/>
      <w:r>
        <w:rPr>
          <w:rFonts w:hint="eastAsia"/>
          <w:color w:val="000000" w:themeColor="text1"/>
        </w:rPr>
        <w:t>铀影响</w:t>
      </w:r>
      <w:proofErr w:type="gramEnd"/>
      <w:r>
        <w:rPr>
          <w:rFonts w:hint="eastAsia"/>
          <w:color w:val="000000" w:themeColor="text1"/>
        </w:rPr>
        <w:t>和功率水平的修正并归一化到通用净化率。单位：Bq/g。</w:t>
      </w:r>
    </w:p>
    <w:p w14:paraId="7196BAA9"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数据项：每月以机组为单位统计月度指标值。</w:t>
      </w:r>
    </w:p>
    <w:p w14:paraId="3E83CF45" w14:textId="77777777" w:rsidR="00BA301C" w:rsidRDefault="00000000">
      <w:pPr>
        <w:pStyle w:val="afffff5"/>
        <w:spacing w:line="360" w:lineRule="auto"/>
        <w:ind w:firstLine="420"/>
        <w:rPr>
          <w:color w:val="000000" w:themeColor="text1"/>
        </w:rPr>
      </w:pPr>
      <w:r>
        <w:rPr>
          <w:rFonts w:hint="eastAsia"/>
          <w:color w:val="000000" w:themeColor="text1"/>
        </w:rPr>
        <w:t>计算公式： 参见核能行业协会组织编制的《运行核电厂持续绩效监测（CPM）指标修订手册》。</w:t>
      </w:r>
    </w:p>
    <w:p w14:paraId="61B356DE"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BA301C" w14:paraId="27FC5911" w14:textId="77777777">
        <w:trPr>
          <w:tblHeader/>
          <w:jc w:val="center"/>
        </w:trPr>
        <w:tc>
          <w:tcPr>
            <w:tcW w:w="2334" w:type="dxa"/>
            <w:tcBorders>
              <w:top w:val="single" w:sz="8" w:space="0" w:color="auto"/>
              <w:bottom w:val="single" w:sz="8" w:space="0" w:color="auto"/>
            </w:tcBorders>
          </w:tcPr>
          <w:p w14:paraId="38186375" w14:textId="77777777" w:rsidR="00BA301C" w:rsidRDefault="00BA301C">
            <w:pPr>
              <w:pStyle w:val="afffffffff9"/>
              <w:spacing w:line="360" w:lineRule="auto"/>
              <w:rPr>
                <w:color w:val="000000" w:themeColor="text1"/>
              </w:rPr>
            </w:pPr>
          </w:p>
        </w:tc>
        <w:tc>
          <w:tcPr>
            <w:tcW w:w="2333" w:type="dxa"/>
            <w:tcBorders>
              <w:top w:val="single" w:sz="8" w:space="0" w:color="auto"/>
              <w:bottom w:val="single" w:sz="8" w:space="0" w:color="auto"/>
            </w:tcBorders>
          </w:tcPr>
          <w:p w14:paraId="1AAC4D0F" w14:textId="77777777" w:rsidR="00BA301C" w:rsidRDefault="00000000">
            <w:pPr>
              <w:pStyle w:val="afffffffff9"/>
              <w:spacing w:line="360" w:lineRule="auto"/>
              <w:rPr>
                <w:color w:val="000000" w:themeColor="text1"/>
              </w:rPr>
            </w:pPr>
            <w:r>
              <w:rPr>
                <w:rFonts w:hAnsi="宋体" w:hint="eastAsia"/>
                <w:color w:val="000000" w:themeColor="text1"/>
              </w:rPr>
              <w:t>绿灯</w:t>
            </w:r>
          </w:p>
        </w:tc>
        <w:tc>
          <w:tcPr>
            <w:tcW w:w="2333" w:type="dxa"/>
            <w:tcBorders>
              <w:top w:val="single" w:sz="8" w:space="0" w:color="auto"/>
              <w:bottom w:val="single" w:sz="8" w:space="0" w:color="auto"/>
            </w:tcBorders>
          </w:tcPr>
          <w:p w14:paraId="5F14EBD9" w14:textId="77777777" w:rsidR="00BA301C" w:rsidRDefault="00000000">
            <w:pPr>
              <w:pStyle w:val="afffffffff9"/>
              <w:spacing w:line="360" w:lineRule="auto"/>
              <w:rPr>
                <w:color w:val="000000" w:themeColor="text1"/>
              </w:rPr>
            </w:pPr>
            <w:r>
              <w:rPr>
                <w:rFonts w:hAnsi="宋体" w:hint="eastAsia"/>
                <w:color w:val="000000" w:themeColor="text1"/>
              </w:rPr>
              <w:t>黄灯</w:t>
            </w:r>
          </w:p>
        </w:tc>
        <w:tc>
          <w:tcPr>
            <w:tcW w:w="2334" w:type="dxa"/>
            <w:tcBorders>
              <w:top w:val="single" w:sz="8" w:space="0" w:color="auto"/>
              <w:bottom w:val="single" w:sz="8" w:space="0" w:color="auto"/>
            </w:tcBorders>
          </w:tcPr>
          <w:p w14:paraId="40A8D4E6" w14:textId="77777777" w:rsidR="00BA301C" w:rsidRDefault="00000000">
            <w:pPr>
              <w:pStyle w:val="afffffffff9"/>
              <w:spacing w:line="360" w:lineRule="auto"/>
              <w:rPr>
                <w:color w:val="000000" w:themeColor="text1"/>
              </w:rPr>
            </w:pPr>
            <w:r>
              <w:rPr>
                <w:rFonts w:hAnsi="宋体" w:hint="eastAsia"/>
                <w:color w:val="000000" w:themeColor="text1"/>
              </w:rPr>
              <w:t>红灯</w:t>
            </w:r>
          </w:p>
        </w:tc>
      </w:tr>
      <w:tr w:rsidR="00BA301C" w14:paraId="3BE5FDED" w14:textId="77777777">
        <w:trPr>
          <w:jc w:val="center"/>
        </w:trPr>
        <w:tc>
          <w:tcPr>
            <w:tcW w:w="2334" w:type="dxa"/>
            <w:tcBorders>
              <w:top w:val="single" w:sz="8" w:space="0" w:color="auto"/>
            </w:tcBorders>
          </w:tcPr>
          <w:p w14:paraId="16F1AF07" w14:textId="77777777" w:rsidR="00BA301C" w:rsidRDefault="00000000">
            <w:pPr>
              <w:pStyle w:val="afffffffff9"/>
              <w:spacing w:line="360" w:lineRule="auto"/>
              <w:rPr>
                <w:color w:val="000000" w:themeColor="text1"/>
              </w:rPr>
            </w:pPr>
            <w:r>
              <w:rPr>
                <w:rFonts w:hAnsi="宋体" w:hint="eastAsia"/>
                <w:color w:val="000000" w:themeColor="text1"/>
              </w:rPr>
              <w:t>运行机组</w:t>
            </w:r>
          </w:p>
        </w:tc>
        <w:tc>
          <w:tcPr>
            <w:tcW w:w="2333" w:type="dxa"/>
            <w:tcBorders>
              <w:top w:val="single" w:sz="8" w:space="0" w:color="auto"/>
            </w:tcBorders>
          </w:tcPr>
          <w:p w14:paraId="50D46ED1" w14:textId="77777777" w:rsidR="00BA301C" w:rsidRDefault="00000000">
            <w:pPr>
              <w:pStyle w:val="afffffffff9"/>
              <w:spacing w:line="360" w:lineRule="auto"/>
              <w:rPr>
                <w:color w:val="000000" w:themeColor="text1"/>
              </w:rPr>
            </w:pPr>
            <w:r>
              <w:rPr>
                <w:rFonts w:hAnsi="宋体" w:hint="eastAsia"/>
                <w:color w:val="000000" w:themeColor="text1"/>
              </w:rPr>
              <w:t>0.037</w:t>
            </w:r>
          </w:p>
        </w:tc>
        <w:tc>
          <w:tcPr>
            <w:tcW w:w="2333" w:type="dxa"/>
            <w:tcBorders>
              <w:top w:val="single" w:sz="8" w:space="0" w:color="auto"/>
            </w:tcBorders>
          </w:tcPr>
          <w:p w14:paraId="00AC2883" w14:textId="77777777" w:rsidR="00BA301C" w:rsidRDefault="00000000">
            <w:pPr>
              <w:pStyle w:val="afffffffff9"/>
              <w:spacing w:line="360" w:lineRule="auto"/>
              <w:rPr>
                <w:color w:val="000000" w:themeColor="text1"/>
              </w:rPr>
            </w:pPr>
            <w:r>
              <w:rPr>
                <w:rFonts w:hAnsi="宋体" w:hint="eastAsia"/>
                <w:color w:val="000000" w:themeColor="text1"/>
              </w:rPr>
              <w:t>0.037＜指标值≤WANO中值</w:t>
            </w:r>
          </w:p>
        </w:tc>
        <w:tc>
          <w:tcPr>
            <w:tcW w:w="2334" w:type="dxa"/>
            <w:tcBorders>
              <w:top w:val="single" w:sz="8" w:space="0" w:color="auto"/>
            </w:tcBorders>
          </w:tcPr>
          <w:p w14:paraId="679AE23C" w14:textId="77777777" w:rsidR="00BA301C" w:rsidRDefault="00000000">
            <w:pPr>
              <w:pStyle w:val="afffffffff9"/>
              <w:spacing w:line="360" w:lineRule="auto"/>
              <w:rPr>
                <w:color w:val="000000" w:themeColor="text1"/>
              </w:rPr>
            </w:pPr>
            <w:r>
              <w:rPr>
                <w:rFonts w:hAnsi="宋体" w:hint="eastAsia"/>
                <w:color w:val="000000" w:themeColor="text1"/>
              </w:rPr>
              <w:t>大于WANO 中值</w:t>
            </w:r>
          </w:p>
        </w:tc>
      </w:tr>
      <w:tr w:rsidR="00BA301C" w14:paraId="27D5BD4F" w14:textId="77777777">
        <w:trPr>
          <w:jc w:val="center"/>
        </w:trPr>
        <w:tc>
          <w:tcPr>
            <w:tcW w:w="2334" w:type="dxa"/>
          </w:tcPr>
          <w:p w14:paraId="014B4225" w14:textId="77777777" w:rsidR="00BA301C" w:rsidRDefault="00000000">
            <w:pPr>
              <w:pStyle w:val="afffffffff9"/>
              <w:spacing w:line="360" w:lineRule="auto"/>
              <w:rPr>
                <w:color w:val="000000" w:themeColor="text1"/>
              </w:rPr>
            </w:pPr>
            <w:r>
              <w:rPr>
                <w:rFonts w:hAnsi="宋体" w:hint="eastAsia"/>
                <w:color w:val="000000" w:themeColor="text1"/>
              </w:rPr>
              <w:t>新机组</w:t>
            </w:r>
          </w:p>
        </w:tc>
        <w:tc>
          <w:tcPr>
            <w:tcW w:w="2333" w:type="dxa"/>
          </w:tcPr>
          <w:p w14:paraId="3F353F23" w14:textId="77777777" w:rsidR="00BA301C" w:rsidRDefault="00000000">
            <w:pPr>
              <w:pStyle w:val="afffffffff9"/>
              <w:spacing w:line="360" w:lineRule="auto"/>
              <w:rPr>
                <w:color w:val="000000" w:themeColor="text1"/>
              </w:rPr>
            </w:pPr>
            <w:r>
              <w:rPr>
                <w:rFonts w:hAnsi="宋体" w:hint="eastAsia"/>
                <w:color w:val="000000" w:themeColor="text1"/>
              </w:rPr>
              <w:t>0.037</w:t>
            </w:r>
          </w:p>
        </w:tc>
        <w:tc>
          <w:tcPr>
            <w:tcW w:w="2333" w:type="dxa"/>
          </w:tcPr>
          <w:p w14:paraId="78C3F64F" w14:textId="77777777" w:rsidR="00BA301C" w:rsidRDefault="00000000">
            <w:pPr>
              <w:pStyle w:val="afffffffff9"/>
              <w:spacing w:line="360" w:lineRule="auto"/>
              <w:rPr>
                <w:color w:val="000000" w:themeColor="text1"/>
              </w:rPr>
            </w:pPr>
            <w:r>
              <w:rPr>
                <w:rFonts w:hAnsi="宋体" w:hint="eastAsia"/>
                <w:color w:val="000000" w:themeColor="text1"/>
              </w:rPr>
              <w:t>0.037＜指标值≤19</w:t>
            </w:r>
          </w:p>
        </w:tc>
        <w:tc>
          <w:tcPr>
            <w:tcW w:w="2334" w:type="dxa"/>
          </w:tcPr>
          <w:p w14:paraId="10CD1CC7" w14:textId="77777777" w:rsidR="00BA301C" w:rsidRDefault="00000000">
            <w:pPr>
              <w:pStyle w:val="afffffffff9"/>
              <w:spacing w:line="360" w:lineRule="auto"/>
              <w:rPr>
                <w:color w:val="000000" w:themeColor="text1"/>
              </w:rPr>
            </w:pPr>
            <w:r>
              <w:rPr>
                <w:rFonts w:hAnsi="宋体" w:hint="eastAsia"/>
                <w:color w:val="000000" w:themeColor="text1"/>
              </w:rPr>
              <w:t>大于19</w:t>
            </w:r>
          </w:p>
        </w:tc>
      </w:tr>
    </w:tbl>
    <w:p w14:paraId="4DCC5052" w14:textId="77777777" w:rsidR="00BA301C" w:rsidRDefault="00000000">
      <w:pPr>
        <w:pStyle w:val="afffff5"/>
        <w:spacing w:line="360" w:lineRule="auto"/>
        <w:ind w:firstLine="420"/>
        <w:rPr>
          <w:color w:val="000000" w:themeColor="text1"/>
          <w:kern w:val="2"/>
          <w:sz w:val="24"/>
          <w:szCs w:val="24"/>
        </w:rPr>
      </w:pPr>
      <w:r>
        <w:rPr>
          <w:rFonts w:hint="eastAsia"/>
          <w:color w:val="000000" w:themeColor="text1"/>
        </w:rPr>
        <w:t>说明：商运两年内（含2年）的机组，定义为新机组。WANO先进值、中值使用上一年度数据。</w:t>
      </w:r>
    </w:p>
    <w:p w14:paraId="323244B7" w14:textId="77777777" w:rsidR="00BA301C" w:rsidRDefault="00000000">
      <w:pPr>
        <w:pStyle w:val="aff4"/>
        <w:spacing w:before="120" w:after="120" w:line="360" w:lineRule="auto"/>
        <w:rPr>
          <w:color w:val="000000" w:themeColor="text1"/>
        </w:rPr>
      </w:pPr>
      <w:r>
        <w:rPr>
          <w:rFonts w:hint="eastAsia"/>
          <w:color w:val="000000" w:themeColor="text1"/>
        </w:rPr>
        <w:lastRenderedPageBreak/>
        <w:t>设备冷却水系统</w:t>
      </w:r>
      <w:proofErr w:type="gramStart"/>
      <w:r>
        <w:rPr>
          <w:rFonts w:hint="eastAsia"/>
          <w:color w:val="000000" w:themeColor="text1"/>
        </w:rPr>
        <w:t>不</w:t>
      </w:r>
      <w:proofErr w:type="gramEnd"/>
      <w:r>
        <w:rPr>
          <w:rFonts w:hint="eastAsia"/>
          <w:color w:val="000000" w:themeColor="text1"/>
        </w:rPr>
        <w:t>可用度</w:t>
      </w:r>
    </w:p>
    <w:p w14:paraId="4D82DBAC" w14:textId="77777777" w:rsidR="00BA301C" w:rsidRDefault="00000000">
      <w:pPr>
        <w:pStyle w:val="afffff5"/>
        <w:spacing w:line="360" w:lineRule="auto"/>
        <w:ind w:firstLine="420"/>
        <w:rPr>
          <w:color w:val="000000" w:themeColor="text1"/>
        </w:rPr>
      </w:pPr>
      <w:r>
        <w:rPr>
          <w:rFonts w:hint="eastAsia"/>
          <w:color w:val="000000" w:themeColor="text1"/>
        </w:rPr>
        <w:t>定义：给定时间内设备冷却水系统中独立系列的平均</w:t>
      </w:r>
      <w:proofErr w:type="gramStart"/>
      <w:r>
        <w:rPr>
          <w:rFonts w:hint="eastAsia"/>
          <w:color w:val="000000" w:themeColor="text1"/>
        </w:rPr>
        <w:t>不</w:t>
      </w:r>
      <w:proofErr w:type="gramEnd"/>
      <w:r>
        <w:rPr>
          <w:rFonts w:hint="eastAsia"/>
          <w:color w:val="000000" w:themeColor="text1"/>
        </w:rPr>
        <w:t>可用度。</w:t>
      </w:r>
    </w:p>
    <w:p w14:paraId="3032425B"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数据项：本指标需每月以机组为单位统计滚动</w:t>
      </w:r>
      <w:r>
        <w:rPr>
          <w:color w:val="000000" w:themeColor="text1"/>
        </w:rPr>
        <w:t>12</w:t>
      </w:r>
      <w:r>
        <w:rPr>
          <w:rFonts w:hint="eastAsia"/>
          <w:color w:val="000000" w:themeColor="text1"/>
        </w:rPr>
        <w:t>个月设备冷却水系统</w:t>
      </w:r>
      <w:proofErr w:type="gramStart"/>
      <w:r>
        <w:rPr>
          <w:rFonts w:hint="eastAsia"/>
          <w:color w:val="000000" w:themeColor="text1"/>
        </w:rPr>
        <w:t>不</w:t>
      </w:r>
      <w:proofErr w:type="gramEnd"/>
      <w:r>
        <w:rPr>
          <w:rFonts w:hint="eastAsia"/>
          <w:color w:val="000000" w:themeColor="text1"/>
        </w:rPr>
        <w:t>可用度。</w:t>
      </w:r>
    </w:p>
    <w:p w14:paraId="132873FA"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11F60C46"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计划不可用时间</m:t>
              </m:r>
              <m:r>
                <m:rPr>
                  <m:sty m:val="p"/>
                </m:rPr>
                <w:rPr>
                  <w:rFonts w:ascii="Cambria Math" w:hAnsi="Cambria Math"/>
                  <w:color w:val="000000" w:themeColor="text1"/>
                </w:rPr>
                <m:t>+</m:t>
              </m:r>
              <m:r>
                <m:rPr>
                  <m:sty m:val="p"/>
                </m:rPr>
                <w:rPr>
                  <w:rFonts w:ascii="Cambria Math" w:hAnsi="Cambria Math" w:hint="eastAsia"/>
                  <w:color w:val="000000" w:themeColor="text1"/>
                </w:rPr>
                <m:t>非计划不可用时间</m:t>
              </m:r>
              <m:r>
                <m:rPr>
                  <m:sty m:val="p"/>
                </m:rPr>
                <w:rPr>
                  <w:rFonts w:ascii="Cambria Math" w:hAnsi="Cambria Math" w:hint="eastAsia"/>
                  <w:color w:val="000000" w:themeColor="text1"/>
                </w:rPr>
                <m:t>+</m:t>
              </m:r>
              <m:r>
                <m:rPr>
                  <m:sty m:val="p"/>
                </m:rPr>
                <w:rPr>
                  <w:rFonts w:ascii="Cambria Math" w:hAnsi="Cambria Math" w:hint="eastAsia"/>
                  <w:color w:val="000000" w:themeColor="text1"/>
                </w:rPr>
                <m:t>故障暴露前不可用时间</m:t>
              </m:r>
            </m:num>
            <m:den>
              <m:r>
                <m:rPr>
                  <m:sty m:val="p"/>
                </m:rPr>
                <w:rPr>
                  <w:rFonts w:ascii="Cambria Math" w:hAnsi="Cambria Math" w:hint="eastAsia"/>
                  <w:color w:val="000000" w:themeColor="text1"/>
                </w:rPr>
                <m:t>系统要求可用时间</m:t>
              </m:r>
              <m:r>
                <m:rPr>
                  <m:sty m:val="p"/>
                </m:rPr>
                <w:rPr>
                  <w:rFonts w:ascii="Cambria Math" w:eastAsiaTheme="minorEastAsia" w:hAnsi="Cambria Math" w:cs="MS Gothic" w:hint="eastAsia"/>
                  <w:color w:val="000000" w:themeColor="text1"/>
                </w:rPr>
                <m:t>×</m:t>
              </m:r>
              <m:r>
                <m:rPr>
                  <m:sty m:val="p"/>
                </m:rPr>
                <w:rPr>
                  <w:rFonts w:ascii="Cambria Math" w:hAnsi="Cambria Math" w:hint="eastAsia"/>
                  <w:color w:val="000000" w:themeColor="text1"/>
                </w:rPr>
                <m:t>系统列数</m:t>
              </m:r>
            </m:den>
          </m:f>
        </m:oMath>
      </m:oMathPara>
    </w:p>
    <w:p w14:paraId="274193BA"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8B63EAF" w14:textId="77777777">
        <w:trPr>
          <w:tblHeader/>
          <w:jc w:val="center"/>
        </w:trPr>
        <w:tc>
          <w:tcPr>
            <w:tcW w:w="3110" w:type="dxa"/>
            <w:tcBorders>
              <w:top w:val="single" w:sz="8" w:space="0" w:color="auto"/>
              <w:bottom w:val="single" w:sz="8" w:space="0" w:color="auto"/>
            </w:tcBorders>
          </w:tcPr>
          <w:p w14:paraId="19CD0630"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69731B14"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7FE2BE94"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316E7257" w14:textId="77777777">
        <w:trPr>
          <w:jc w:val="center"/>
        </w:trPr>
        <w:tc>
          <w:tcPr>
            <w:tcW w:w="3110" w:type="dxa"/>
            <w:tcBorders>
              <w:top w:val="single" w:sz="8" w:space="0" w:color="auto"/>
            </w:tcBorders>
          </w:tcPr>
          <w:p w14:paraId="428F906C"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≤0.00001</w:t>
            </w:r>
          </w:p>
        </w:tc>
        <w:tc>
          <w:tcPr>
            <w:tcW w:w="3112" w:type="dxa"/>
            <w:tcBorders>
              <w:top w:val="single" w:sz="8" w:space="0" w:color="auto"/>
            </w:tcBorders>
          </w:tcPr>
          <w:p w14:paraId="18A458B4"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0.0005≥指标值＞0.00001</w:t>
            </w:r>
          </w:p>
        </w:tc>
        <w:tc>
          <w:tcPr>
            <w:tcW w:w="3112" w:type="dxa"/>
            <w:tcBorders>
              <w:top w:val="single" w:sz="8" w:space="0" w:color="auto"/>
            </w:tcBorders>
          </w:tcPr>
          <w:p w14:paraId="73EBA038"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＞0.0005</w:t>
            </w:r>
          </w:p>
        </w:tc>
      </w:tr>
    </w:tbl>
    <w:p w14:paraId="75253FF4" w14:textId="77777777" w:rsidR="00BA301C" w:rsidRDefault="00000000">
      <w:pPr>
        <w:pStyle w:val="aff4"/>
        <w:spacing w:before="120" w:after="120" w:line="360" w:lineRule="auto"/>
        <w:rPr>
          <w:color w:val="000000" w:themeColor="text1"/>
        </w:rPr>
      </w:pPr>
      <w:r>
        <w:rPr>
          <w:rFonts w:hint="eastAsia"/>
          <w:color w:val="000000" w:themeColor="text1"/>
        </w:rPr>
        <w:t>重要厂用水系统</w:t>
      </w:r>
      <w:proofErr w:type="gramStart"/>
      <w:r>
        <w:rPr>
          <w:rFonts w:hint="eastAsia"/>
          <w:color w:val="000000" w:themeColor="text1"/>
        </w:rPr>
        <w:t>不</w:t>
      </w:r>
      <w:proofErr w:type="gramEnd"/>
      <w:r>
        <w:rPr>
          <w:rFonts w:hint="eastAsia"/>
          <w:color w:val="000000" w:themeColor="text1"/>
        </w:rPr>
        <w:t>可用度</w:t>
      </w:r>
    </w:p>
    <w:p w14:paraId="3113775E" w14:textId="77777777" w:rsidR="00BA301C" w:rsidRDefault="00000000">
      <w:pPr>
        <w:pStyle w:val="afffff5"/>
        <w:spacing w:line="360" w:lineRule="auto"/>
        <w:ind w:firstLine="420"/>
        <w:rPr>
          <w:color w:val="000000" w:themeColor="text1"/>
        </w:rPr>
      </w:pPr>
      <w:r>
        <w:rPr>
          <w:rFonts w:hint="eastAsia"/>
          <w:color w:val="000000" w:themeColor="text1"/>
        </w:rPr>
        <w:t>定义：给定时间内重要厂用水系统中独立系列的平均</w:t>
      </w:r>
      <w:proofErr w:type="gramStart"/>
      <w:r>
        <w:rPr>
          <w:rFonts w:hint="eastAsia"/>
          <w:color w:val="000000" w:themeColor="text1"/>
        </w:rPr>
        <w:t>不</w:t>
      </w:r>
      <w:proofErr w:type="gramEnd"/>
      <w:r>
        <w:rPr>
          <w:rFonts w:hint="eastAsia"/>
          <w:color w:val="000000" w:themeColor="text1"/>
        </w:rPr>
        <w:t>可用度。</w:t>
      </w:r>
    </w:p>
    <w:p w14:paraId="52D71136"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数据项：本指标需每月以机组为单位统计滚动</w:t>
      </w:r>
      <w:r>
        <w:rPr>
          <w:color w:val="000000" w:themeColor="text1"/>
        </w:rPr>
        <w:t>12</w:t>
      </w:r>
      <w:r>
        <w:rPr>
          <w:rFonts w:hint="eastAsia"/>
          <w:color w:val="000000" w:themeColor="text1"/>
        </w:rPr>
        <w:t>月重要厂用水系统</w:t>
      </w:r>
      <w:proofErr w:type="gramStart"/>
      <w:r>
        <w:rPr>
          <w:rFonts w:hint="eastAsia"/>
          <w:color w:val="000000" w:themeColor="text1"/>
        </w:rPr>
        <w:t>不</w:t>
      </w:r>
      <w:proofErr w:type="gramEnd"/>
      <w:r>
        <w:rPr>
          <w:rFonts w:hint="eastAsia"/>
          <w:color w:val="000000" w:themeColor="text1"/>
        </w:rPr>
        <w:t>可用度。</w:t>
      </w:r>
    </w:p>
    <w:p w14:paraId="1FBC2A13"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10A6CC22"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计划不可用时间</m:t>
              </m:r>
              <m:r>
                <m:rPr>
                  <m:sty m:val="p"/>
                </m:rPr>
                <w:rPr>
                  <w:rFonts w:ascii="Cambria Math" w:hAnsi="Cambria Math"/>
                  <w:color w:val="000000" w:themeColor="text1"/>
                </w:rPr>
                <m:t>+</m:t>
              </m:r>
              <m:r>
                <m:rPr>
                  <m:sty m:val="p"/>
                </m:rPr>
                <w:rPr>
                  <w:rFonts w:ascii="Cambria Math" w:hAnsi="Cambria Math" w:hint="eastAsia"/>
                  <w:color w:val="000000" w:themeColor="text1"/>
                </w:rPr>
                <m:t>非计划不可用时间</m:t>
              </m:r>
              <m:r>
                <m:rPr>
                  <m:sty m:val="p"/>
                </m:rPr>
                <w:rPr>
                  <w:rFonts w:ascii="Cambria Math" w:hAnsi="Cambria Math" w:hint="eastAsia"/>
                  <w:color w:val="000000" w:themeColor="text1"/>
                </w:rPr>
                <m:t>+</m:t>
              </m:r>
              <m:r>
                <m:rPr>
                  <m:sty m:val="p"/>
                </m:rPr>
                <w:rPr>
                  <w:rFonts w:ascii="Cambria Math" w:hAnsi="Cambria Math" w:hint="eastAsia"/>
                  <w:color w:val="000000" w:themeColor="text1"/>
                </w:rPr>
                <m:t>故障暴露前不可用时间</m:t>
              </m:r>
            </m:num>
            <m:den>
              <m:r>
                <m:rPr>
                  <m:sty m:val="p"/>
                </m:rPr>
                <w:rPr>
                  <w:rFonts w:ascii="Cambria Math" w:hAnsi="Cambria Math" w:hint="eastAsia"/>
                  <w:color w:val="000000" w:themeColor="text1"/>
                </w:rPr>
                <m:t>系统要求可用时间</m:t>
              </m:r>
              <m:r>
                <m:rPr>
                  <m:sty m:val="p"/>
                </m:rPr>
                <w:rPr>
                  <w:rFonts w:ascii="Cambria Math" w:eastAsiaTheme="minorEastAsia" w:hAnsi="Cambria Math" w:cs="MS Gothic" w:hint="eastAsia"/>
                  <w:color w:val="000000" w:themeColor="text1"/>
                </w:rPr>
                <m:t>×</m:t>
              </m:r>
              <m:r>
                <m:rPr>
                  <m:sty m:val="p"/>
                </m:rPr>
                <w:rPr>
                  <w:rFonts w:ascii="Cambria Math" w:hAnsi="Cambria Math" w:hint="eastAsia"/>
                  <w:color w:val="000000" w:themeColor="text1"/>
                </w:rPr>
                <m:t>系统列数</m:t>
              </m:r>
            </m:den>
          </m:f>
        </m:oMath>
      </m:oMathPara>
    </w:p>
    <w:p w14:paraId="69F1F4CA"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24A809E" w14:textId="77777777">
        <w:trPr>
          <w:tblHeader/>
          <w:jc w:val="center"/>
        </w:trPr>
        <w:tc>
          <w:tcPr>
            <w:tcW w:w="3110" w:type="dxa"/>
            <w:tcBorders>
              <w:top w:val="single" w:sz="8" w:space="0" w:color="auto"/>
              <w:bottom w:val="single" w:sz="8" w:space="0" w:color="auto"/>
            </w:tcBorders>
          </w:tcPr>
          <w:p w14:paraId="0248CB51"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3DACA56A"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235295D3"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5928E1EE" w14:textId="77777777">
        <w:trPr>
          <w:jc w:val="center"/>
        </w:trPr>
        <w:tc>
          <w:tcPr>
            <w:tcW w:w="3110" w:type="dxa"/>
            <w:tcBorders>
              <w:top w:val="single" w:sz="8" w:space="0" w:color="auto"/>
            </w:tcBorders>
          </w:tcPr>
          <w:p w14:paraId="6F34F361"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≤0.00001</w:t>
            </w:r>
          </w:p>
        </w:tc>
        <w:tc>
          <w:tcPr>
            <w:tcW w:w="3112" w:type="dxa"/>
            <w:tcBorders>
              <w:top w:val="single" w:sz="8" w:space="0" w:color="auto"/>
            </w:tcBorders>
          </w:tcPr>
          <w:p w14:paraId="5D69C31A"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0.0005≥指标值＞0.00001</w:t>
            </w:r>
          </w:p>
        </w:tc>
        <w:tc>
          <w:tcPr>
            <w:tcW w:w="3112" w:type="dxa"/>
            <w:tcBorders>
              <w:top w:val="single" w:sz="8" w:space="0" w:color="auto"/>
            </w:tcBorders>
          </w:tcPr>
          <w:p w14:paraId="3D6EA7D1" w14:textId="77777777" w:rsidR="00BA301C" w:rsidRDefault="00000000">
            <w:pPr>
              <w:pStyle w:val="afffffffff9"/>
              <w:spacing w:line="360" w:lineRule="auto"/>
              <w:rPr>
                <w:color w:val="000000" w:themeColor="text1"/>
                <w:szCs w:val="18"/>
              </w:rPr>
            </w:pPr>
            <w:r>
              <w:rPr>
                <w:rFonts w:hAnsi="宋体" w:hint="eastAsia"/>
                <w:color w:val="000000" w:themeColor="text1"/>
                <w:szCs w:val="18"/>
              </w:rPr>
              <w:t>＞0.0005</w:t>
            </w:r>
          </w:p>
        </w:tc>
      </w:tr>
    </w:tbl>
    <w:p w14:paraId="10703B9C" w14:textId="77777777" w:rsidR="00BA301C" w:rsidRDefault="00000000">
      <w:pPr>
        <w:pStyle w:val="aff4"/>
        <w:spacing w:before="120" w:after="120" w:line="360" w:lineRule="auto"/>
        <w:rPr>
          <w:color w:val="000000" w:themeColor="text1"/>
        </w:rPr>
      </w:pPr>
      <w:r>
        <w:rPr>
          <w:rFonts w:hint="eastAsia"/>
          <w:color w:val="000000" w:themeColor="text1"/>
        </w:rPr>
        <w:t>反应堆冷却剂系统泄露率</w:t>
      </w:r>
    </w:p>
    <w:p w14:paraId="3CAB8279" w14:textId="77777777" w:rsidR="00BA301C" w:rsidRDefault="00000000">
      <w:pPr>
        <w:pStyle w:val="afffff5"/>
        <w:spacing w:line="360" w:lineRule="auto"/>
        <w:ind w:firstLine="420"/>
        <w:rPr>
          <w:color w:val="000000" w:themeColor="text1"/>
        </w:rPr>
      </w:pPr>
      <w:r>
        <w:rPr>
          <w:rFonts w:hint="eastAsia"/>
          <w:color w:val="000000" w:themeColor="text1"/>
        </w:rPr>
        <w:t>定义：给定时间内反应堆冷却剂系统最大不可识别泄漏率与运行技术规格书所规定的限值的百分比。</w:t>
      </w:r>
    </w:p>
    <w:p w14:paraId="1AB93BA5"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数据项：本指标需每月以机组为单位统计反应堆冷却剂系统最大不可识别泄漏率、技术规格书所规定的限值。</w:t>
      </w:r>
    </w:p>
    <w:p w14:paraId="4F31DAB1"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469FA984" w14:textId="77777777" w:rsidR="00BA301C" w:rsidRDefault="00000000">
      <w:pPr>
        <w:pStyle w:val="afffff5"/>
        <w:spacing w:line="360" w:lineRule="auto"/>
        <w:ind w:firstLine="420"/>
        <w:rPr>
          <w:color w:val="000000" w:themeColor="text1"/>
        </w:rPr>
      </w:pPr>
      <m:oMathPara>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反应堆冷却剂系统最大不可识别泄漏率</m:t>
              </m:r>
            </m:num>
            <m:den>
              <m:r>
                <m:rPr>
                  <m:sty m:val="p"/>
                </m:rPr>
                <w:rPr>
                  <w:rFonts w:ascii="Cambria Math" w:hAnsi="Cambria Math" w:hint="eastAsia"/>
                  <w:color w:val="000000" w:themeColor="text1"/>
                </w:rPr>
                <m:t>技术规格书所规定的限值</m:t>
              </m:r>
            </m:den>
          </m:f>
          <m:r>
            <m:rPr>
              <m:sty m:val="p"/>
            </m:rPr>
            <w:rPr>
              <w:rFonts w:ascii="Cambria Math" w:eastAsiaTheme="minorEastAsia" w:hAnsi="Cambria Math" w:cs="MS Gothic" w:hint="eastAsia"/>
              <w:color w:val="000000" w:themeColor="text1"/>
            </w:rPr>
            <m:t>×</m:t>
          </m:r>
          <m:r>
            <m:rPr>
              <m:sty m:val="p"/>
            </m:rPr>
            <w:rPr>
              <w:rFonts w:ascii="Cambria Math" w:eastAsiaTheme="minorEastAsia" w:hAnsi="Cambria Math" w:cs="MS Gothic"/>
              <w:color w:val="000000" w:themeColor="text1"/>
            </w:rPr>
            <m:t>100</m:t>
          </m:r>
          <m:r>
            <m:rPr>
              <m:sty m:val="p"/>
            </m:rPr>
            <w:rPr>
              <w:rFonts w:ascii="Cambria Math" w:eastAsiaTheme="minorEastAsia" w:hAnsi="Cambria Math" w:cs="MS Gothic" w:hint="eastAsia"/>
              <w:color w:val="000000" w:themeColor="text1"/>
            </w:rPr>
            <m:t>%</m:t>
          </m:r>
        </m:oMath>
      </m:oMathPara>
    </w:p>
    <w:p w14:paraId="76371866" w14:textId="77777777" w:rsidR="00BA301C" w:rsidRDefault="00000000">
      <w:pPr>
        <w:pStyle w:val="afffff5"/>
        <w:spacing w:line="360" w:lineRule="auto"/>
        <w:ind w:firstLine="420"/>
        <w:rPr>
          <w:color w:val="000000" w:themeColor="text1"/>
        </w:rPr>
      </w:pPr>
      <w:r>
        <w:rPr>
          <w:rFonts w:hint="eastAsia"/>
          <w:color w:val="000000" w:themeColor="text1"/>
        </w:rPr>
        <w:t>指标状态判定准则：</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11C8A509" w14:textId="77777777">
        <w:trPr>
          <w:tblHeader/>
          <w:jc w:val="center"/>
        </w:trPr>
        <w:tc>
          <w:tcPr>
            <w:tcW w:w="3110" w:type="dxa"/>
            <w:tcBorders>
              <w:top w:val="single" w:sz="8" w:space="0" w:color="auto"/>
              <w:bottom w:val="single" w:sz="8" w:space="0" w:color="auto"/>
            </w:tcBorders>
          </w:tcPr>
          <w:p w14:paraId="3AAFED07" w14:textId="77777777" w:rsidR="00BA301C" w:rsidRDefault="00000000">
            <w:pPr>
              <w:pStyle w:val="afffffffff9"/>
              <w:spacing w:line="360" w:lineRule="auto"/>
              <w:rPr>
                <w:color w:val="000000" w:themeColor="text1"/>
                <w:szCs w:val="18"/>
              </w:rPr>
            </w:pPr>
            <w:r>
              <w:rPr>
                <w:rFonts w:hAnsi="宋体" w:hint="eastAsia"/>
                <w:color w:val="000000" w:themeColor="text1"/>
                <w:szCs w:val="18"/>
              </w:rPr>
              <w:t>绿灯</w:t>
            </w:r>
          </w:p>
        </w:tc>
        <w:tc>
          <w:tcPr>
            <w:tcW w:w="3112" w:type="dxa"/>
            <w:tcBorders>
              <w:top w:val="single" w:sz="8" w:space="0" w:color="auto"/>
              <w:bottom w:val="single" w:sz="8" w:space="0" w:color="auto"/>
            </w:tcBorders>
          </w:tcPr>
          <w:p w14:paraId="0A24F5A5" w14:textId="77777777" w:rsidR="00BA301C" w:rsidRDefault="00000000">
            <w:pPr>
              <w:pStyle w:val="afffffffff9"/>
              <w:spacing w:line="360" w:lineRule="auto"/>
              <w:rPr>
                <w:color w:val="000000" w:themeColor="text1"/>
                <w:szCs w:val="18"/>
              </w:rPr>
            </w:pPr>
            <w:r>
              <w:rPr>
                <w:rFonts w:hAnsi="宋体" w:hint="eastAsia"/>
                <w:color w:val="000000" w:themeColor="text1"/>
                <w:szCs w:val="18"/>
              </w:rPr>
              <w:t>黄灯</w:t>
            </w:r>
          </w:p>
        </w:tc>
        <w:tc>
          <w:tcPr>
            <w:tcW w:w="3112" w:type="dxa"/>
            <w:tcBorders>
              <w:top w:val="single" w:sz="8" w:space="0" w:color="auto"/>
              <w:bottom w:val="single" w:sz="8" w:space="0" w:color="auto"/>
            </w:tcBorders>
          </w:tcPr>
          <w:p w14:paraId="46F07516" w14:textId="77777777" w:rsidR="00BA301C" w:rsidRDefault="00000000">
            <w:pPr>
              <w:pStyle w:val="afffffffff9"/>
              <w:spacing w:line="360" w:lineRule="auto"/>
              <w:rPr>
                <w:color w:val="000000" w:themeColor="text1"/>
                <w:szCs w:val="18"/>
              </w:rPr>
            </w:pPr>
            <w:r>
              <w:rPr>
                <w:rFonts w:hAnsi="宋体" w:hint="eastAsia"/>
                <w:color w:val="000000" w:themeColor="text1"/>
                <w:szCs w:val="18"/>
              </w:rPr>
              <w:t>红灯</w:t>
            </w:r>
          </w:p>
        </w:tc>
      </w:tr>
      <w:tr w:rsidR="00BA301C" w14:paraId="7E5004BC" w14:textId="77777777">
        <w:trPr>
          <w:jc w:val="center"/>
        </w:trPr>
        <w:tc>
          <w:tcPr>
            <w:tcW w:w="3110" w:type="dxa"/>
            <w:tcBorders>
              <w:top w:val="single" w:sz="8" w:space="0" w:color="auto"/>
            </w:tcBorders>
          </w:tcPr>
          <w:p w14:paraId="59700E27"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指标值≤12%</w:t>
            </w:r>
          </w:p>
        </w:tc>
        <w:tc>
          <w:tcPr>
            <w:tcW w:w="3112" w:type="dxa"/>
            <w:tcBorders>
              <w:top w:val="single" w:sz="8" w:space="0" w:color="auto"/>
            </w:tcBorders>
          </w:tcPr>
          <w:p w14:paraId="3ADBDDBD" w14:textId="77777777" w:rsidR="00BA301C" w:rsidRDefault="00000000">
            <w:pPr>
              <w:pStyle w:val="afffffffff9"/>
              <w:spacing w:line="360" w:lineRule="auto"/>
              <w:rPr>
                <w:color w:val="000000" w:themeColor="text1"/>
                <w:szCs w:val="18"/>
              </w:rPr>
            </w:pPr>
            <w:r>
              <w:rPr>
                <w:rFonts w:hAnsi="宋体" w:hint="eastAsia"/>
                <w:color w:val="000000" w:themeColor="text1"/>
                <w:szCs w:val="18"/>
              </w:rPr>
              <w:t>50%≥指标值＞12%</w:t>
            </w:r>
          </w:p>
        </w:tc>
        <w:tc>
          <w:tcPr>
            <w:tcW w:w="3112" w:type="dxa"/>
            <w:tcBorders>
              <w:top w:val="single" w:sz="8" w:space="0" w:color="auto"/>
            </w:tcBorders>
          </w:tcPr>
          <w:p w14:paraId="1FD660E5" w14:textId="77777777" w:rsidR="00BA301C" w:rsidRDefault="00000000">
            <w:pPr>
              <w:pStyle w:val="afffffffff9"/>
              <w:spacing w:line="360" w:lineRule="auto"/>
              <w:rPr>
                <w:color w:val="000000" w:themeColor="text1"/>
                <w:szCs w:val="18"/>
              </w:rPr>
            </w:pPr>
            <w:r>
              <w:rPr>
                <w:rFonts w:hAnsi="宋体" w:hint="eastAsia"/>
                <w:color w:val="000000" w:themeColor="text1"/>
                <w:szCs w:val="18"/>
              </w:rPr>
              <w:t>指标值＞50%</w:t>
            </w:r>
          </w:p>
        </w:tc>
      </w:tr>
    </w:tbl>
    <w:p w14:paraId="5ED28E71" w14:textId="77777777" w:rsidR="00BA301C" w:rsidRDefault="00000000">
      <w:pPr>
        <w:pStyle w:val="aff4"/>
        <w:spacing w:before="120" w:after="120" w:line="360" w:lineRule="auto"/>
        <w:rPr>
          <w:color w:val="000000" w:themeColor="text1"/>
        </w:rPr>
      </w:pPr>
      <w:r>
        <w:rPr>
          <w:rFonts w:hint="eastAsia"/>
          <w:color w:val="000000" w:themeColor="text1"/>
        </w:rPr>
        <w:t>安全壳完整性</w:t>
      </w:r>
    </w:p>
    <w:p w14:paraId="4EAF5F7D" w14:textId="77777777" w:rsidR="00BA301C" w:rsidRDefault="00000000">
      <w:pPr>
        <w:pStyle w:val="afffff5"/>
        <w:spacing w:line="360" w:lineRule="auto"/>
        <w:ind w:firstLine="420"/>
        <w:rPr>
          <w:color w:val="000000" w:themeColor="text1"/>
        </w:rPr>
      </w:pPr>
      <w:r>
        <w:rPr>
          <w:rFonts w:hint="eastAsia"/>
          <w:color w:val="000000" w:themeColor="text1"/>
        </w:rPr>
        <w:t>定义：给定时间内反应堆安全壳实测值泄漏率与运行技术规格书规定限值的百分比。</w:t>
      </w:r>
    </w:p>
    <w:p w14:paraId="38EF2177" w14:textId="77777777" w:rsidR="00BA301C" w:rsidRDefault="00000000">
      <w:pPr>
        <w:pStyle w:val="afffff5"/>
        <w:spacing w:line="360" w:lineRule="auto"/>
        <w:ind w:firstLine="420"/>
        <w:rPr>
          <w:color w:val="000000" w:themeColor="text1"/>
        </w:rPr>
      </w:pPr>
      <w:r>
        <w:rPr>
          <w:rFonts w:hint="eastAsia"/>
          <w:color w:val="000000" w:themeColor="text1"/>
        </w:rPr>
        <w:t>数据项：本指标需每月以机组为单位统计反应堆安全壳泄漏率实测值、技术规格书所规定的限值。</w:t>
      </w:r>
    </w:p>
    <w:p w14:paraId="48E3B104" w14:textId="77777777" w:rsidR="00BA301C" w:rsidRDefault="00000000">
      <w:pPr>
        <w:pStyle w:val="afffff5"/>
        <w:spacing w:line="360" w:lineRule="auto"/>
        <w:ind w:firstLine="420"/>
        <w:rPr>
          <w:color w:val="000000" w:themeColor="text1"/>
        </w:rPr>
      </w:pPr>
      <w:r>
        <w:rPr>
          <w:rFonts w:hint="eastAsia"/>
          <w:color w:val="000000" w:themeColor="text1"/>
        </w:rPr>
        <w:lastRenderedPageBreak/>
        <w:t>计算方法：</w:t>
      </w:r>
    </w:p>
    <w:p w14:paraId="620AB7AC" w14:textId="77777777" w:rsidR="00BA301C" w:rsidRDefault="00000000">
      <w:pPr>
        <w:pStyle w:val="afffff5"/>
        <w:spacing w:line="360" w:lineRule="auto"/>
        <w:ind w:firstLine="420"/>
        <w:rPr>
          <w:color w:val="000000" w:themeColor="text1"/>
        </w:rPr>
      </w:pPr>
      <m:oMathPara>
        <m:oMathParaPr>
          <m:jc m:val="center"/>
        </m:oMathParaPr>
        <m:oMath>
          <m:r>
            <m:rPr>
              <m:sty m:val="p"/>
            </m:rPr>
            <w:rPr>
              <w:rFonts w:ascii="Cambria Math" w:hAnsi="Cambria Math" w:hint="eastAsia"/>
              <w:color w:val="000000" w:themeColor="text1"/>
            </w:rPr>
            <m:t>=</m:t>
          </m:r>
          <m:f>
            <m:fPr>
              <m:ctrlPr>
                <w:rPr>
                  <w:rFonts w:ascii="Cambria Math" w:hAnsi="Cambria Math"/>
                  <w:color w:val="000000" w:themeColor="text1"/>
                </w:rPr>
              </m:ctrlPr>
            </m:fPr>
            <m:num>
              <m:r>
                <m:rPr>
                  <m:sty m:val="p"/>
                </m:rPr>
                <w:rPr>
                  <w:rFonts w:ascii="Cambria Math" w:hAnsi="Cambria Math" w:hint="eastAsia"/>
                  <w:color w:val="000000" w:themeColor="text1"/>
                </w:rPr>
                <m:t>反应堆安全壳泄露率实测值</m:t>
              </m:r>
            </m:num>
            <m:den>
              <m:r>
                <m:rPr>
                  <m:sty m:val="p"/>
                </m:rPr>
                <w:rPr>
                  <w:rFonts w:ascii="Cambria Math" w:hAnsi="Cambria Math" w:hint="eastAsia"/>
                  <w:color w:val="000000" w:themeColor="text1"/>
                </w:rPr>
                <m:t>技术规格书所规定的限值</m:t>
              </m:r>
            </m:den>
          </m:f>
          <m:r>
            <m:rPr>
              <m:sty m:val="p"/>
            </m:rPr>
            <w:rPr>
              <w:rFonts w:ascii="Cambria Math" w:hAnsi="Cambria Math"/>
              <w:color w:val="000000" w:themeColor="text1"/>
            </w:rPr>
            <m:t>×100</m:t>
          </m:r>
          <m:r>
            <m:rPr>
              <m:sty m:val="p"/>
            </m:rPr>
            <w:rPr>
              <w:rFonts w:ascii="Cambria Math" w:hAnsi="Cambria Math" w:hint="eastAsia"/>
              <w:color w:val="000000" w:themeColor="text1"/>
            </w:rPr>
            <m:t>%</m:t>
          </m:r>
        </m:oMath>
      </m:oMathPara>
    </w:p>
    <w:p w14:paraId="50353DCA" w14:textId="77777777" w:rsidR="00BA301C" w:rsidRDefault="00000000">
      <w:pPr>
        <w:pStyle w:val="afffff5"/>
        <w:spacing w:line="360" w:lineRule="auto"/>
        <w:ind w:firstLine="420"/>
        <w:rPr>
          <w:color w:val="000000" w:themeColor="text1"/>
        </w:rPr>
      </w:pPr>
      <w:r>
        <w:rPr>
          <w:rFonts w:hint="eastAsia"/>
          <w:color w:val="000000" w:themeColor="text1"/>
        </w:rPr>
        <w:t>指标状态判定准则：适用于</w:t>
      </w:r>
      <w:proofErr w:type="gramStart"/>
      <w:r>
        <w:rPr>
          <w:rFonts w:hint="eastAsia"/>
          <w:color w:val="000000" w:themeColor="text1"/>
        </w:rPr>
        <w:t>月度值</w:t>
      </w:r>
      <w:proofErr w:type="gramEnd"/>
      <w:r>
        <w:rPr>
          <w:rFonts w:hint="eastAsia"/>
          <w:color w:val="000000" w:themeColor="text1"/>
        </w:rPr>
        <w:t>判定</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301C" w14:paraId="3E910033" w14:textId="77777777">
        <w:trPr>
          <w:tblHeader/>
          <w:jc w:val="center"/>
        </w:trPr>
        <w:tc>
          <w:tcPr>
            <w:tcW w:w="3110" w:type="dxa"/>
            <w:tcBorders>
              <w:top w:val="single" w:sz="8" w:space="0" w:color="auto"/>
              <w:bottom w:val="single" w:sz="8" w:space="0" w:color="auto"/>
            </w:tcBorders>
          </w:tcPr>
          <w:p w14:paraId="25905556" w14:textId="77777777" w:rsidR="00BA301C" w:rsidRDefault="00000000">
            <w:pPr>
              <w:pStyle w:val="afffffffff9"/>
              <w:spacing w:line="360" w:lineRule="auto"/>
              <w:rPr>
                <w:color w:val="000000" w:themeColor="text1"/>
              </w:rPr>
            </w:pPr>
            <w:r>
              <w:rPr>
                <w:rFonts w:hAnsi="宋体" w:hint="eastAsia"/>
                <w:color w:val="000000" w:themeColor="text1"/>
              </w:rPr>
              <w:t>绿灯</w:t>
            </w:r>
          </w:p>
        </w:tc>
        <w:tc>
          <w:tcPr>
            <w:tcW w:w="3112" w:type="dxa"/>
            <w:tcBorders>
              <w:top w:val="single" w:sz="8" w:space="0" w:color="auto"/>
              <w:bottom w:val="single" w:sz="8" w:space="0" w:color="auto"/>
            </w:tcBorders>
          </w:tcPr>
          <w:p w14:paraId="2D268DC0" w14:textId="77777777" w:rsidR="00BA301C" w:rsidRDefault="00000000">
            <w:pPr>
              <w:pStyle w:val="afffffffff9"/>
              <w:spacing w:line="360" w:lineRule="auto"/>
              <w:rPr>
                <w:color w:val="000000" w:themeColor="text1"/>
              </w:rPr>
            </w:pPr>
            <w:r>
              <w:rPr>
                <w:rFonts w:hAnsi="宋体" w:hint="eastAsia"/>
                <w:color w:val="000000" w:themeColor="text1"/>
              </w:rPr>
              <w:t>黄灯</w:t>
            </w:r>
          </w:p>
        </w:tc>
        <w:tc>
          <w:tcPr>
            <w:tcW w:w="3112" w:type="dxa"/>
            <w:tcBorders>
              <w:top w:val="single" w:sz="8" w:space="0" w:color="auto"/>
              <w:bottom w:val="single" w:sz="8" w:space="0" w:color="auto"/>
            </w:tcBorders>
          </w:tcPr>
          <w:p w14:paraId="3B18B97F" w14:textId="77777777" w:rsidR="00BA301C" w:rsidRDefault="00000000">
            <w:pPr>
              <w:pStyle w:val="afffffffff9"/>
              <w:spacing w:line="360" w:lineRule="auto"/>
              <w:rPr>
                <w:color w:val="000000" w:themeColor="text1"/>
              </w:rPr>
            </w:pPr>
            <w:r>
              <w:rPr>
                <w:rFonts w:hAnsi="宋体" w:hint="eastAsia"/>
                <w:color w:val="000000" w:themeColor="text1"/>
              </w:rPr>
              <w:t>红灯</w:t>
            </w:r>
          </w:p>
        </w:tc>
      </w:tr>
      <w:tr w:rsidR="00BA301C" w14:paraId="0246E6A1" w14:textId="77777777">
        <w:trPr>
          <w:jc w:val="center"/>
        </w:trPr>
        <w:tc>
          <w:tcPr>
            <w:tcW w:w="3110" w:type="dxa"/>
            <w:tcBorders>
              <w:top w:val="single" w:sz="8" w:space="0" w:color="auto"/>
            </w:tcBorders>
          </w:tcPr>
          <w:p w14:paraId="5BC16DCE" w14:textId="77777777" w:rsidR="00BA301C" w:rsidRDefault="00000000">
            <w:pPr>
              <w:pStyle w:val="afffffffff9"/>
              <w:spacing w:line="360" w:lineRule="auto"/>
              <w:rPr>
                <w:color w:val="000000" w:themeColor="text1"/>
              </w:rPr>
            </w:pPr>
            <w:r>
              <w:rPr>
                <w:rFonts w:hAnsi="宋体" w:hint="eastAsia"/>
                <w:color w:val="000000" w:themeColor="text1"/>
              </w:rPr>
              <w:t>指标值≤55.5%</w:t>
            </w:r>
          </w:p>
        </w:tc>
        <w:tc>
          <w:tcPr>
            <w:tcW w:w="3112" w:type="dxa"/>
            <w:tcBorders>
              <w:top w:val="single" w:sz="8" w:space="0" w:color="auto"/>
            </w:tcBorders>
          </w:tcPr>
          <w:p w14:paraId="269E6A67" w14:textId="77777777" w:rsidR="00BA301C" w:rsidRDefault="00000000">
            <w:pPr>
              <w:pStyle w:val="afffffffff9"/>
              <w:spacing w:line="360" w:lineRule="auto"/>
              <w:rPr>
                <w:color w:val="000000" w:themeColor="text1"/>
              </w:rPr>
            </w:pPr>
            <w:r>
              <w:rPr>
                <w:rFonts w:hAnsi="宋体" w:hint="eastAsia"/>
                <w:color w:val="000000" w:themeColor="text1"/>
              </w:rPr>
              <w:t>100%≥指标值＞55.5%</w:t>
            </w:r>
          </w:p>
        </w:tc>
        <w:tc>
          <w:tcPr>
            <w:tcW w:w="3112" w:type="dxa"/>
            <w:tcBorders>
              <w:top w:val="single" w:sz="8" w:space="0" w:color="auto"/>
            </w:tcBorders>
          </w:tcPr>
          <w:p w14:paraId="2664C0D8" w14:textId="77777777" w:rsidR="00BA301C" w:rsidRDefault="00000000">
            <w:pPr>
              <w:pStyle w:val="afffffffff9"/>
              <w:spacing w:line="360" w:lineRule="auto"/>
              <w:rPr>
                <w:color w:val="000000" w:themeColor="text1"/>
              </w:rPr>
            </w:pPr>
            <w:r>
              <w:rPr>
                <w:rFonts w:hAnsi="宋体" w:hint="eastAsia"/>
                <w:color w:val="000000" w:themeColor="text1"/>
              </w:rPr>
              <w:t>指标值＞100%</w:t>
            </w:r>
          </w:p>
        </w:tc>
      </w:tr>
    </w:tbl>
    <w:p w14:paraId="750A5EE4" w14:textId="77777777" w:rsidR="00BA301C" w:rsidRDefault="00000000">
      <w:pPr>
        <w:pStyle w:val="aff4"/>
        <w:spacing w:before="120" w:after="120" w:line="360" w:lineRule="auto"/>
        <w:rPr>
          <w:color w:val="000000" w:themeColor="text1"/>
        </w:rPr>
      </w:pPr>
      <w:r>
        <w:rPr>
          <w:rFonts w:hint="eastAsia"/>
          <w:color w:val="000000" w:themeColor="text1"/>
        </w:rPr>
        <w:t>化学指标</w:t>
      </w:r>
    </w:p>
    <w:p w14:paraId="29E737B5" w14:textId="77777777" w:rsidR="00BA301C" w:rsidRDefault="00000000">
      <w:pPr>
        <w:pStyle w:val="afffff5"/>
        <w:spacing w:line="360" w:lineRule="auto"/>
        <w:ind w:firstLine="420"/>
        <w:rPr>
          <w:color w:val="000000" w:themeColor="text1"/>
        </w:rPr>
      </w:pPr>
      <w:r>
        <w:rPr>
          <w:rFonts w:hint="eastAsia"/>
          <w:color w:val="000000" w:themeColor="text1"/>
        </w:rPr>
        <w:t>定义：给定周期内蒸汽发生器排污水、主给水或凝结水中选定杂质和腐蚀产物浓度与其限值相比（每个参数除以其限值）后的归一化值。本指标所监测的杂质和腐蚀产物的种类，可根据堆型、蒸汽发生器传热管材质进行选取。适用高温气冷堆机组（HTR-PM）的化学指标，待WANO正式发布后进行补充</w:t>
      </w:r>
    </w:p>
    <w:p w14:paraId="2650F44C" w14:textId="77777777" w:rsidR="00BA301C" w:rsidRDefault="00000000">
      <w:pPr>
        <w:pStyle w:val="afffff5"/>
        <w:spacing w:line="360" w:lineRule="auto"/>
        <w:ind w:firstLine="420"/>
        <w:rPr>
          <w:color w:val="000000" w:themeColor="text1"/>
        </w:rPr>
      </w:pPr>
      <w:r>
        <w:rPr>
          <w:rFonts w:hint="eastAsia"/>
          <w:color w:val="000000" w:themeColor="text1"/>
        </w:rPr>
        <w:t>数据项：每月以机组为单位统计WANO化学指标。</w:t>
      </w:r>
    </w:p>
    <w:p w14:paraId="0AB8BD69" w14:textId="77777777" w:rsidR="00BA301C" w:rsidRDefault="00000000">
      <w:pPr>
        <w:pStyle w:val="afffff5"/>
        <w:spacing w:line="360" w:lineRule="auto"/>
        <w:ind w:firstLine="420"/>
        <w:rPr>
          <w:color w:val="000000" w:themeColor="text1"/>
        </w:rPr>
      </w:pPr>
      <w:r>
        <w:rPr>
          <w:rFonts w:hint="eastAsia"/>
          <w:color w:val="000000" w:themeColor="text1"/>
        </w:rPr>
        <w:t>计算方法：</w:t>
      </w:r>
    </w:p>
    <w:p w14:paraId="6C4728A7" w14:textId="77777777" w:rsidR="00BA301C" w:rsidRDefault="00000000">
      <w:pPr>
        <w:pStyle w:val="afffff5"/>
        <w:spacing w:line="360" w:lineRule="auto"/>
        <w:ind w:firstLine="420"/>
        <w:rPr>
          <w:color w:val="000000" w:themeColor="text1"/>
        </w:rPr>
      </w:pPr>
      <w:r>
        <w:rPr>
          <w:color w:val="000000" w:themeColor="text1"/>
        </w:rPr>
        <w:t>PWRs</w:t>
      </w:r>
      <w:r>
        <w:rPr>
          <w:rFonts w:hint="eastAsia"/>
          <w:color w:val="000000" w:themeColor="text1"/>
        </w:rPr>
        <w:t>机组（再循环蒸汽发生器、传热管材质</w:t>
      </w:r>
      <w:proofErr w:type="spellStart"/>
      <w:r>
        <w:rPr>
          <w:color w:val="000000" w:themeColor="text1"/>
        </w:rPr>
        <w:t>Incoloy</w:t>
      </w:r>
      <w:proofErr w:type="spellEnd"/>
      <w:r>
        <w:rPr>
          <w:color w:val="000000" w:themeColor="text1"/>
        </w:rPr>
        <w:t xml:space="preserve"> 800</w:t>
      </w:r>
      <w:r>
        <w:rPr>
          <w:rFonts w:hint="eastAsia"/>
          <w:color w:val="000000" w:themeColor="text1"/>
        </w:rPr>
        <w:t>）化学指标：</w:t>
      </w:r>
    </w:p>
    <w:p w14:paraId="00EF81C3" w14:textId="77777777" w:rsidR="00BA301C" w:rsidRDefault="00000000">
      <w:pPr>
        <w:pStyle w:val="afffff5"/>
        <w:spacing w:line="360" w:lineRule="auto"/>
        <w:ind w:firstLine="420"/>
        <w:rPr>
          <w:color w:val="000000" w:themeColor="text1"/>
        </w:rPr>
      </w:pPr>
      <m:oMathPara>
        <m:oMathParaPr>
          <m:jc m:val="center"/>
        </m:oMathParaPr>
        <m:oMath>
          <m:r>
            <m:rPr>
              <m:sty m:val="p"/>
            </m:rPr>
            <w:rPr>
              <w:rFonts w:ascii="Cambria Math" w:hAnsi="Cambria Math"/>
              <w:color w:val="000000" w:themeColor="text1"/>
            </w:rPr>
            <m:t>CPI=</m:t>
          </m:r>
          <m:f>
            <m:fPr>
              <m:ctrlPr>
                <w:rPr>
                  <w:rFonts w:ascii="Cambria Math" w:hAnsi="Cambria Math"/>
                  <w:color w:val="000000" w:themeColor="text1"/>
                </w:rPr>
              </m:ctrlPr>
            </m:fPr>
            <m:num>
              <m:f>
                <m:fPr>
                  <m:ctrlPr>
                    <w:rPr>
                      <w:rFonts w:ascii="Cambria Math" w:hAnsi="Cambria Math"/>
                      <w:color w:val="000000" w:themeColor="text1"/>
                    </w:rPr>
                  </m:ctrlPr>
                </m:fPr>
                <m:num>
                  <m:r>
                    <m:rPr>
                      <m:sty m:val="p"/>
                    </m:rPr>
                    <w:rPr>
                      <w:rFonts w:ascii="Cambria Math" w:hAnsi="Cambria Math"/>
                      <w:color w:val="000000" w:themeColor="text1"/>
                    </w:rPr>
                    <m:t>SGNa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SGCl</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SGSO4</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SGKa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FWFe</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O2c</m:t>
                  </m:r>
                </m:num>
                <m:den>
                  <m:r>
                    <m:rPr>
                      <m:sty m:val="p"/>
                    </m:rPr>
                    <w:rPr>
                      <w:rFonts w:ascii="Cambria Math" w:hAnsi="Cambria Math"/>
                      <w:color w:val="000000" w:themeColor="text1"/>
                    </w:rPr>
                    <m:t>LVx</m:t>
                  </m:r>
                </m:den>
              </m:f>
            </m:num>
            <m:den>
              <m:r>
                <m:rPr>
                  <m:sty m:val="p"/>
                </m:rPr>
                <w:rPr>
                  <w:rFonts w:ascii="Cambria Math" w:hAnsi="Cambria Math"/>
                  <w:color w:val="000000" w:themeColor="text1"/>
                </w:rPr>
                <m:t>6</m:t>
              </m:r>
            </m:den>
          </m:f>
        </m:oMath>
      </m:oMathPara>
    </w:p>
    <w:p w14:paraId="7F51C950" w14:textId="77777777" w:rsidR="00BA301C" w:rsidRDefault="00000000">
      <w:pPr>
        <w:pStyle w:val="afffff5"/>
        <w:spacing w:line="360" w:lineRule="auto"/>
        <w:ind w:firstLine="420"/>
        <w:rPr>
          <w:color w:val="000000" w:themeColor="text1"/>
        </w:rPr>
      </w:pPr>
      <w:r>
        <w:rPr>
          <w:color w:val="000000" w:themeColor="text1"/>
        </w:rPr>
        <w:t>PWRs</w:t>
      </w:r>
      <w:r>
        <w:rPr>
          <w:rFonts w:hint="eastAsia"/>
          <w:color w:val="000000" w:themeColor="text1"/>
        </w:rPr>
        <w:t>机组（再循环蒸汽发生器、非摩尔比控制）化学指标：</w:t>
      </w:r>
    </w:p>
    <w:p w14:paraId="7FA4FA18" w14:textId="77777777" w:rsidR="00BA301C" w:rsidRDefault="00000000">
      <w:pPr>
        <w:pStyle w:val="afffff5"/>
        <w:spacing w:line="360" w:lineRule="auto"/>
        <w:ind w:firstLine="420"/>
        <w:rPr>
          <w:color w:val="000000" w:themeColor="text1"/>
        </w:rPr>
      </w:pPr>
      <m:oMathPara>
        <m:oMathParaPr>
          <m:jc m:val="center"/>
        </m:oMathParaPr>
        <m:oMath>
          <m:r>
            <m:rPr>
              <m:sty m:val="p"/>
            </m:rPr>
            <w:rPr>
              <w:rFonts w:ascii="Cambria Math" w:hAnsi="Cambria Math"/>
              <w:color w:val="000000" w:themeColor="text1"/>
            </w:rPr>
            <m:t>CPI=</m:t>
          </m:r>
          <m:f>
            <m:fPr>
              <m:ctrlPr>
                <w:rPr>
                  <w:rFonts w:ascii="Cambria Math" w:hAnsi="Cambria Math"/>
                  <w:color w:val="000000" w:themeColor="text1"/>
                </w:rPr>
              </m:ctrlPr>
            </m:fPr>
            <m:num>
              <m:f>
                <m:fPr>
                  <m:ctrlPr>
                    <w:rPr>
                      <w:rFonts w:ascii="Cambria Math" w:hAnsi="Cambria Math"/>
                      <w:color w:val="000000" w:themeColor="text1"/>
                    </w:rPr>
                  </m:ctrlPr>
                </m:fPr>
                <m:num>
                  <m:r>
                    <m:rPr>
                      <m:sty m:val="p"/>
                    </m:rPr>
                    <w:rPr>
                      <w:rFonts w:ascii="Cambria Math" w:hAnsi="Cambria Math"/>
                      <w:color w:val="000000" w:themeColor="text1"/>
                    </w:rPr>
                    <m:t>SGNa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SGCl</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SGSO4</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FWFe</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FWCu</m:t>
                  </m:r>
                </m:num>
                <m:den>
                  <m:r>
                    <m:rPr>
                      <m:sty m:val="p"/>
                    </m:rPr>
                    <w:rPr>
                      <w:rFonts w:ascii="Cambria Math" w:hAnsi="Cambria Math"/>
                      <w:color w:val="000000" w:themeColor="text1"/>
                    </w:rPr>
                    <m:t>LVx</m:t>
                  </m:r>
                </m:den>
              </m:f>
            </m:num>
            <m:den>
              <m:r>
                <m:rPr>
                  <m:sty m:val="p"/>
                </m:rPr>
                <w:rPr>
                  <w:rFonts w:ascii="Cambria Math" w:hAnsi="Cambria Math"/>
                  <w:color w:val="000000" w:themeColor="text1"/>
                </w:rPr>
                <m:t>5</m:t>
              </m:r>
            </m:den>
          </m:f>
        </m:oMath>
      </m:oMathPara>
    </w:p>
    <w:p w14:paraId="771B7602" w14:textId="77777777" w:rsidR="00BA301C" w:rsidRDefault="00000000">
      <w:pPr>
        <w:pStyle w:val="afffff5"/>
        <w:spacing w:line="360" w:lineRule="auto"/>
        <w:ind w:firstLine="420"/>
        <w:rPr>
          <w:color w:val="000000" w:themeColor="text1"/>
        </w:rPr>
      </w:pPr>
      <w:r>
        <w:rPr>
          <w:color w:val="000000" w:themeColor="text1"/>
        </w:rPr>
        <w:t>PHWRs</w:t>
      </w:r>
      <w:r>
        <w:rPr>
          <w:rFonts w:hint="eastAsia"/>
          <w:color w:val="000000" w:themeColor="text1"/>
        </w:rPr>
        <w:t>机组（蒸汽发生器传热管</w:t>
      </w:r>
      <w:proofErr w:type="spellStart"/>
      <w:r>
        <w:rPr>
          <w:color w:val="000000" w:themeColor="text1"/>
        </w:rPr>
        <w:t>Incoloy</w:t>
      </w:r>
      <w:proofErr w:type="spellEnd"/>
      <w:r>
        <w:rPr>
          <w:color w:val="000000" w:themeColor="text1"/>
        </w:rPr>
        <w:t xml:space="preserve"> 800</w:t>
      </w:r>
      <w:r>
        <w:rPr>
          <w:rFonts w:hint="eastAsia"/>
          <w:color w:val="000000" w:themeColor="text1"/>
        </w:rPr>
        <w:t>）化学指标：</w:t>
      </w:r>
    </w:p>
    <w:p w14:paraId="738B1E57" w14:textId="77777777" w:rsidR="00BA301C" w:rsidRDefault="00000000">
      <w:pPr>
        <w:pStyle w:val="afffff5"/>
        <w:spacing w:line="360" w:lineRule="auto"/>
        <w:ind w:firstLine="420"/>
        <w:rPr>
          <w:color w:val="000000" w:themeColor="text1"/>
        </w:rPr>
      </w:pPr>
      <m:oMathPara>
        <m:oMathParaPr>
          <m:jc m:val="center"/>
        </m:oMathParaPr>
        <m:oMath>
          <m:r>
            <m:rPr>
              <m:sty m:val="p"/>
            </m:rPr>
            <w:rPr>
              <w:rFonts w:ascii="Cambria Math" w:hAnsi="Cambria Math"/>
              <w:color w:val="000000" w:themeColor="text1"/>
            </w:rPr>
            <m:t>CPI=</m:t>
          </m:r>
          <m:f>
            <m:fPr>
              <m:ctrlPr>
                <w:rPr>
                  <w:rFonts w:ascii="Cambria Math" w:hAnsi="Cambria Math"/>
                  <w:color w:val="000000" w:themeColor="text1"/>
                </w:rPr>
              </m:ctrlPr>
            </m:fPr>
            <m:num>
              <m:f>
                <m:fPr>
                  <m:ctrlPr>
                    <w:rPr>
                      <w:rFonts w:ascii="Cambria Math" w:hAnsi="Cambria Math"/>
                      <w:color w:val="000000" w:themeColor="text1"/>
                    </w:rPr>
                  </m:ctrlPr>
                </m:fPr>
                <m:num>
                  <m:r>
                    <m:rPr>
                      <m:sty m:val="p"/>
                    </m:rPr>
                    <w:rPr>
                      <w:rFonts w:ascii="Cambria Math" w:hAnsi="Cambria Math"/>
                      <w:color w:val="000000" w:themeColor="text1"/>
                    </w:rPr>
                    <m:t>SGNa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SGCl</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SGSO4</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FWFe</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O2f</m:t>
                  </m:r>
                </m:num>
                <m:den>
                  <m:r>
                    <m:rPr>
                      <m:sty m:val="p"/>
                    </m:rPr>
                    <w:rPr>
                      <w:rFonts w:ascii="Cambria Math" w:hAnsi="Cambria Math"/>
                      <w:color w:val="000000" w:themeColor="text1"/>
                    </w:rPr>
                    <m:t>LVx</m:t>
                  </m:r>
                </m:den>
              </m:f>
            </m:num>
            <m:den>
              <m:r>
                <m:rPr>
                  <m:sty m:val="p"/>
                </m:rPr>
                <w:rPr>
                  <w:rFonts w:ascii="Cambria Math" w:hAnsi="Cambria Math"/>
                  <w:color w:val="000000" w:themeColor="text1"/>
                </w:rPr>
                <m:t>5</m:t>
              </m:r>
            </m:den>
          </m:f>
        </m:oMath>
      </m:oMathPara>
    </w:p>
    <w:p w14:paraId="3B17D3EF" w14:textId="77777777" w:rsidR="00BA301C" w:rsidRDefault="00000000">
      <w:pPr>
        <w:pStyle w:val="afffff5"/>
        <w:spacing w:line="360" w:lineRule="auto"/>
        <w:ind w:firstLine="420"/>
        <w:rPr>
          <w:color w:val="000000" w:themeColor="text1"/>
        </w:rPr>
      </w:pPr>
      <w:r>
        <w:rPr>
          <w:color w:val="000000" w:themeColor="text1"/>
        </w:rPr>
        <w:t xml:space="preserve">VVER </w:t>
      </w:r>
      <w:r>
        <w:rPr>
          <w:rFonts w:hint="eastAsia"/>
          <w:color w:val="000000" w:themeColor="text1"/>
        </w:rPr>
        <w:t>机组化学性能：</w:t>
      </w:r>
    </w:p>
    <w:p w14:paraId="1C2A5A0F" w14:textId="77777777" w:rsidR="00BA301C" w:rsidRDefault="00000000">
      <w:pPr>
        <w:pStyle w:val="afffff5"/>
        <w:spacing w:line="360" w:lineRule="auto"/>
        <w:ind w:firstLine="420"/>
        <w:rPr>
          <w:bCs/>
          <w:color w:val="000000" w:themeColor="text1"/>
        </w:rPr>
      </w:pPr>
      <m:oMathPara>
        <m:oMathParaPr>
          <m:jc m:val="center"/>
        </m:oMathParaPr>
        <m:oMath>
          <m:r>
            <m:rPr>
              <m:sty m:val="p"/>
            </m:rPr>
            <w:rPr>
              <w:rFonts w:ascii="Cambria Math" w:hAnsi="Cambria Math"/>
              <w:color w:val="000000" w:themeColor="text1"/>
            </w:rPr>
            <m:t>CPI=</m:t>
          </m:r>
          <m:f>
            <m:fPr>
              <m:ctrlPr>
                <w:rPr>
                  <w:rFonts w:ascii="Cambria Math" w:hAnsi="Cambria Math"/>
                  <w:color w:val="000000" w:themeColor="text1"/>
                </w:rPr>
              </m:ctrlPr>
            </m:fPr>
            <m:num>
              <m:f>
                <m:fPr>
                  <m:ctrlPr>
                    <w:rPr>
                      <w:rFonts w:ascii="Cambria Math" w:hAnsi="Cambria Math"/>
                      <w:color w:val="000000" w:themeColor="text1"/>
                    </w:rPr>
                  </m:ctrlPr>
                </m:fPr>
                <m:num>
                  <m:r>
                    <m:rPr>
                      <m:sty m:val="p"/>
                    </m:rPr>
                    <w:rPr>
                      <w:rFonts w:ascii="Cambria Math" w:hAnsi="Cambria Math"/>
                      <w:color w:val="000000" w:themeColor="text1"/>
                    </w:rPr>
                    <m:t>SGNa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SGCl</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SGSO4</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SGKa</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FWFe</m:t>
                  </m:r>
                </m:num>
                <m:den>
                  <m:r>
                    <m:rPr>
                      <m:sty m:val="p"/>
                    </m:rPr>
                    <w:rPr>
                      <w:rFonts w:ascii="Cambria Math" w:hAnsi="Cambria Math"/>
                      <w:color w:val="000000" w:themeColor="text1"/>
                    </w:rPr>
                    <m:t>LVx</m:t>
                  </m:r>
                </m:den>
              </m:f>
              <m:r>
                <m:rPr>
                  <m:sty m:val="p"/>
                </m:rP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FWCu</m:t>
                  </m:r>
                </m:num>
                <m:den>
                  <m:r>
                    <m:rPr>
                      <m:sty m:val="p"/>
                    </m:rPr>
                    <w:rPr>
                      <w:rFonts w:ascii="Cambria Math" w:hAnsi="Cambria Math"/>
                      <w:color w:val="000000" w:themeColor="text1"/>
                    </w:rPr>
                    <m:t>LVx</m:t>
                  </m:r>
                </m:den>
              </m:f>
            </m:num>
            <m:den>
              <m:r>
                <m:rPr>
                  <m:sty m:val="p"/>
                </m:rPr>
                <w:rPr>
                  <w:rFonts w:ascii="Cambria Math" w:hAnsi="Cambria Math"/>
                  <w:color w:val="000000" w:themeColor="text1"/>
                </w:rPr>
                <m:t>6</m:t>
              </m:r>
            </m:den>
          </m:f>
        </m:oMath>
      </m:oMathPara>
    </w:p>
    <w:p w14:paraId="1FCDA9F3" w14:textId="77777777" w:rsidR="00BA301C" w:rsidRDefault="00000000">
      <w:pPr>
        <w:pStyle w:val="afffff5"/>
        <w:spacing w:line="360" w:lineRule="auto"/>
        <w:ind w:firstLine="420"/>
        <w:rPr>
          <w:color w:val="000000" w:themeColor="text1"/>
        </w:rPr>
      </w:pPr>
      <w:r>
        <w:rPr>
          <w:rFonts w:hint="eastAsia"/>
          <w:color w:val="000000" w:themeColor="text1"/>
        </w:rPr>
        <w:t>其中：</w:t>
      </w:r>
    </w:p>
    <w:p w14:paraId="2FFD811B" w14:textId="77777777" w:rsidR="00BA301C" w:rsidRDefault="00000000">
      <w:pPr>
        <w:pStyle w:val="afffff5"/>
        <w:spacing w:line="360" w:lineRule="auto"/>
        <w:ind w:firstLine="420"/>
        <w:rPr>
          <w:color w:val="000000" w:themeColor="text1"/>
        </w:rPr>
      </w:pPr>
      <w:proofErr w:type="spellStart"/>
      <w:r>
        <w:rPr>
          <w:color w:val="000000" w:themeColor="text1"/>
        </w:rPr>
        <w:t>SGKa</w:t>
      </w:r>
      <w:proofErr w:type="spellEnd"/>
      <w:r>
        <w:rPr>
          <w:rFonts w:hint="eastAsia"/>
          <w:color w:val="000000" w:themeColor="text1"/>
        </w:rPr>
        <w:t>：蒸汽发生器排污水的阳离子电导率</w:t>
      </w:r>
    </w:p>
    <w:p w14:paraId="2B4EBAA2" w14:textId="77777777" w:rsidR="00BA301C" w:rsidRDefault="00000000">
      <w:pPr>
        <w:pStyle w:val="afffff5"/>
        <w:spacing w:line="360" w:lineRule="auto"/>
        <w:ind w:firstLine="420"/>
        <w:rPr>
          <w:color w:val="000000" w:themeColor="text1"/>
        </w:rPr>
      </w:pPr>
      <w:proofErr w:type="spellStart"/>
      <w:r>
        <w:rPr>
          <w:color w:val="000000" w:themeColor="text1"/>
        </w:rPr>
        <w:t>SGCl</w:t>
      </w:r>
      <w:proofErr w:type="spellEnd"/>
      <w:r>
        <w:rPr>
          <w:rFonts w:hint="eastAsia"/>
          <w:color w:val="000000" w:themeColor="text1"/>
        </w:rPr>
        <w:t>：蒸汽发生器排污水中氯离子浓度</w:t>
      </w:r>
    </w:p>
    <w:p w14:paraId="065A99D1" w14:textId="77777777" w:rsidR="00BA301C" w:rsidRDefault="00000000">
      <w:pPr>
        <w:pStyle w:val="afffff5"/>
        <w:spacing w:line="360" w:lineRule="auto"/>
        <w:ind w:firstLine="420"/>
        <w:rPr>
          <w:color w:val="000000" w:themeColor="text1"/>
        </w:rPr>
      </w:pPr>
      <w:r>
        <w:rPr>
          <w:color w:val="000000" w:themeColor="text1"/>
        </w:rPr>
        <w:t>SGSO</w:t>
      </w:r>
      <w:r>
        <w:rPr>
          <w:color w:val="000000" w:themeColor="text1"/>
          <w:vertAlign w:val="subscript"/>
        </w:rPr>
        <w:t>4</w:t>
      </w:r>
      <w:r>
        <w:rPr>
          <w:rFonts w:hint="eastAsia"/>
          <w:color w:val="000000" w:themeColor="text1"/>
        </w:rPr>
        <w:t>：蒸汽发生器排污水中硫酸根离子浓度</w:t>
      </w:r>
    </w:p>
    <w:p w14:paraId="5CCBACE8" w14:textId="77777777" w:rsidR="00BA301C" w:rsidRDefault="00000000">
      <w:pPr>
        <w:pStyle w:val="afffff5"/>
        <w:spacing w:line="360" w:lineRule="auto"/>
        <w:ind w:firstLine="420"/>
        <w:rPr>
          <w:color w:val="000000" w:themeColor="text1"/>
        </w:rPr>
      </w:pPr>
      <w:proofErr w:type="spellStart"/>
      <w:r>
        <w:rPr>
          <w:color w:val="000000" w:themeColor="text1"/>
        </w:rPr>
        <w:t>SGNa</w:t>
      </w:r>
      <w:proofErr w:type="spellEnd"/>
      <w:r>
        <w:rPr>
          <w:rFonts w:hint="eastAsia"/>
          <w:color w:val="000000" w:themeColor="text1"/>
        </w:rPr>
        <w:t>：蒸汽发生器排污水中钠离子浓度</w:t>
      </w:r>
    </w:p>
    <w:p w14:paraId="0CB53326" w14:textId="77777777" w:rsidR="00BA301C" w:rsidRDefault="00000000">
      <w:pPr>
        <w:pStyle w:val="afffff5"/>
        <w:spacing w:line="360" w:lineRule="auto"/>
        <w:ind w:firstLine="420"/>
        <w:rPr>
          <w:color w:val="000000" w:themeColor="text1"/>
        </w:rPr>
      </w:pPr>
      <w:proofErr w:type="spellStart"/>
      <w:r>
        <w:rPr>
          <w:color w:val="000000" w:themeColor="text1"/>
        </w:rPr>
        <w:t>FWFe</w:t>
      </w:r>
      <w:proofErr w:type="spellEnd"/>
      <w:r>
        <w:rPr>
          <w:rFonts w:hint="eastAsia"/>
          <w:color w:val="000000" w:themeColor="text1"/>
        </w:rPr>
        <w:t>：主给水中铁离子浓度</w:t>
      </w:r>
    </w:p>
    <w:p w14:paraId="1E77FDBE" w14:textId="77777777" w:rsidR="00BA301C" w:rsidRDefault="00000000">
      <w:pPr>
        <w:pStyle w:val="afffff5"/>
        <w:spacing w:line="360" w:lineRule="auto"/>
        <w:ind w:firstLine="420"/>
        <w:rPr>
          <w:color w:val="000000" w:themeColor="text1"/>
        </w:rPr>
      </w:pPr>
      <w:proofErr w:type="spellStart"/>
      <w:r>
        <w:rPr>
          <w:color w:val="000000" w:themeColor="text1"/>
        </w:rPr>
        <w:t>FWCu</w:t>
      </w:r>
      <w:proofErr w:type="spellEnd"/>
      <w:r>
        <w:rPr>
          <w:rFonts w:hint="eastAsia"/>
          <w:color w:val="000000" w:themeColor="text1"/>
        </w:rPr>
        <w:t>：主给水中铜离子浓度</w:t>
      </w:r>
    </w:p>
    <w:p w14:paraId="7C4E19B1" w14:textId="77777777" w:rsidR="00BA301C" w:rsidRDefault="00000000">
      <w:pPr>
        <w:pStyle w:val="afffff5"/>
        <w:spacing w:line="360" w:lineRule="auto"/>
        <w:ind w:firstLine="420"/>
        <w:rPr>
          <w:color w:val="000000" w:themeColor="text1"/>
        </w:rPr>
      </w:pPr>
      <w:r>
        <w:rPr>
          <w:color w:val="000000" w:themeColor="text1"/>
        </w:rPr>
        <w:t>O</w:t>
      </w:r>
      <w:r>
        <w:rPr>
          <w:color w:val="000000" w:themeColor="text1"/>
          <w:vertAlign w:val="subscript"/>
        </w:rPr>
        <w:t>2</w:t>
      </w:r>
      <w:r>
        <w:rPr>
          <w:color w:val="000000" w:themeColor="text1"/>
        </w:rPr>
        <w:t>f</w:t>
      </w:r>
      <w:r>
        <w:rPr>
          <w:rFonts w:hint="eastAsia"/>
          <w:color w:val="000000" w:themeColor="text1"/>
        </w:rPr>
        <w:t>：主给水中溶解氧含量</w:t>
      </w:r>
    </w:p>
    <w:p w14:paraId="5B3C99EE" w14:textId="77777777" w:rsidR="00BA301C" w:rsidRDefault="00000000">
      <w:pPr>
        <w:pStyle w:val="afffff5"/>
        <w:spacing w:line="360" w:lineRule="auto"/>
        <w:ind w:firstLine="420"/>
        <w:rPr>
          <w:color w:val="000000" w:themeColor="text1"/>
        </w:rPr>
      </w:pPr>
      <w:r>
        <w:rPr>
          <w:color w:val="000000" w:themeColor="text1"/>
        </w:rPr>
        <w:t>O</w:t>
      </w:r>
      <w:r>
        <w:rPr>
          <w:color w:val="000000" w:themeColor="text1"/>
          <w:vertAlign w:val="subscript"/>
        </w:rPr>
        <w:t>2</w:t>
      </w:r>
      <w:r>
        <w:rPr>
          <w:color w:val="000000" w:themeColor="text1"/>
        </w:rPr>
        <w:t>c</w:t>
      </w:r>
      <w:r>
        <w:rPr>
          <w:rFonts w:hint="eastAsia"/>
          <w:color w:val="000000" w:themeColor="text1"/>
        </w:rPr>
        <w:t>：凝结水中溶解氧含量</w:t>
      </w:r>
    </w:p>
    <w:p w14:paraId="3EEA1867" w14:textId="77777777" w:rsidR="00BA301C" w:rsidRDefault="00000000">
      <w:pPr>
        <w:pStyle w:val="afffff5"/>
        <w:spacing w:line="360" w:lineRule="auto"/>
        <w:ind w:firstLine="420"/>
        <w:rPr>
          <w:color w:val="000000" w:themeColor="text1"/>
        </w:rPr>
      </w:pPr>
      <w:r>
        <w:rPr>
          <w:rFonts w:hint="eastAsia"/>
          <w:color w:val="000000" w:themeColor="text1"/>
        </w:rPr>
        <w:lastRenderedPageBreak/>
        <w:t>功率大于</w:t>
      </w:r>
      <w:r>
        <w:rPr>
          <w:color w:val="000000" w:themeColor="text1"/>
        </w:rPr>
        <w:t>30%</w:t>
      </w:r>
      <w:r>
        <w:rPr>
          <w:rFonts w:hint="eastAsia"/>
          <w:color w:val="000000" w:themeColor="text1"/>
        </w:rPr>
        <w:t>的天数</w:t>
      </w:r>
    </w:p>
    <w:p w14:paraId="35B6F233" w14:textId="77777777" w:rsidR="00BA301C" w:rsidRDefault="00000000">
      <w:pPr>
        <w:pStyle w:val="afffff5"/>
        <w:spacing w:line="360" w:lineRule="auto"/>
        <w:ind w:firstLine="400"/>
        <w:rPr>
          <w:color w:val="000000" w:themeColor="text1"/>
          <w:sz w:val="20"/>
        </w:rPr>
      </w:pPr>
      <w:r>
        <w:rPr>
          <w:rFonts w:hint="eastAsia"/>
          <w:color w:val="000000" w:themeColor="text1"/>
          <w:sz w:val="20"/>
        </w:rPr>
        <w:t>说明：公式</w:t>
      </w:r>
      <w:r>
        <w:rPr>
          <w:color w:val="000000" w:themeColor="text1"/>
          <w:sz w:val="20"/>
        </w:rPr>
        <w:t>中</w:t>
      </w:r>
      <w:proofErr w:type="spellStart"/>
      <w:r>
        <w:rPr>
          <w:color w:val="000000" w:themeColor="text1"/>
          <w:sz w:val="20"/>
        </w:rPr>
        <w:t>LVx</w:t>
      </w:r>
      <w:proofErr w:type="spellEnd"/>
      <w:r>
        <w:rPr>
          <w:rFonts w:hint="eastAsia"/>
          <w:color w:val="000000" w:themeColor="text1"/>
          <w:sz w:val="20"/>
        </w:rPr>
        <w:t>表示各参数对应的限值；计算中，如果某项杂质或腐蚀产物浓度等于或好于限值，其浓度值使用限值替代。</w:t>
      </w:r>
      <w:bookmarkEnd w:id="78"/>
    </w:p>
    <w:sectPr w:rsidR="00BA301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58DFD" w14:textId="77777777" w:rsidR="009564C9" w:rsidRDefault="009564C9">
      <w:pPr>
        <w:spacing w:line="240" w:lineRule="auto"/>
      </w:pPr>
      <w:r>
        <w:separator/>
      </w:r>
    </w:p>
  </w:endnote>
  <w:endnote w:type="continuationSeparator" w:id="0">
    <w:p w14:paraId="2762BDFE" w14:textId="77777777" w:rsidR="009564C9" w:rsidRDefault="009564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A42E" w14:textId="77777777" w:rsidR="00BA301C"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21547" w14:textId="77777777" w:rsidR="00BA301C" w:rsidRDefault="00BA301C">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37A8" w14:textId="77777777" w:rsidR="00BA301C" w:rsidRDefault="00000000">
    <w:pPr>
      <w:pStyle w:val="afffff2"/>
    </w:pPr>
    <w:r>
      <w:fldChar w:fldCharType="begin"/>
    </w:r>
    <w:r>
      <w:instrText>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1AFD" w14:textId="77777777" w:rsidR="009564C9" w:rsidRDefault="009564C9">
      <w:pPr>
        <w:spacing w:line="240" w:lineRule="auto"/>
      </w:pPr>
      <w:r>
        <w:separator/>
      </w:r>
    </w:p>
  </w:footnote>
  <w:footnote w:type="continuationSeparator" w:id="0">
    <w:p w14:paraId="3F4F293C" w14:textId="77777777" w:rsidR="009564C9" w:rsidRDefault="009564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CD3F" w14:textId="77777777" w:rsidR="00BA301C"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F722E" w14:textId="77777777" w:rsidR="00BA301C" w:rsidRDefault="00BA301C">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44FE" w14:textId="77777777" w:rsidR="00BA301C"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T/CNEA XXXX—2023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BAA1" w14:textId="01741411" w:rsidR="00BA301C" w:rsidRDefault="00000000">
    <w:pPr>
      <w:pStyle w:val="afffffa"/>
      <w:rPr>
        <w:rFonts w:hint="eastAsia"/>
      </w:rPr>
    </w:pPr>
    <w:r>
      <w:fldChar w:fldCharType="begin"/>
    </w:r>
    <w:r>
      <w:instrText xml:space="preserve"> STYLEREF  标准文件_文件编号  \* MERGEFORMAT </w:instrText>
    </w:r>
    <w:r>
      <w:fldChar w:fldCharType="separate"/>
    </w:r>
    <w:r w:rsidR="007B12E4">
      <w:rPr>
        <w:rFonts w:hint="eastAsia"/>
        <w:noProof/>
      </w:rPr>
      <w:t>T/CNEA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1467302">
    <w:abstractNumId w:val="0"/>
  </w:num>
  <w:num w:numId="2" w16cid:durableId="1574003779">
    <w:abstractNumId w:val="27"/>
  </w:num>
  <w:num w:numId="3" w16cid:durableId="1326854937">
    <w:abstractNumId w:val="5"/>
  </w:num>
  <w:num w:numId="4" w16cid:durableId="1942641160">
    <w:abstractNumId w:val="23"/>
  </w:num>
  <w:num w:numId="5" w16cid:durableId="45299106">
    <w:abstractNumId w:val="18"/>
  </w:num>
  <w:num w:numId="6" w16cid:durableId="454327927">
    <w:abstractNumId w:val="13"/>
  </w:num>
  <w:num w:numId="7" w16cid:durableId="1417752259">
    <w:abstractNumId w:val="8"/>
  </w:num>
  <w:num w:numId="8" w16cid:durableId="1095637660">
    <w:abstractNumId w:val="3"/>
  </w:num>
  <w:num w:numId="9" w16cid:durableId="47925609">
    <w:abstractNumId w:val="9"/>
  </w:num>
  <w:num w:numId="10" w16cid:durableId="1964383410">
    <w:abstractNumId w:val="16"/>
  </w:num>
  <w:num w:numId="11" w16cid:durableId="1000154924">
    <w:abstractNumId w:val="25"/>
  </w:num>
  <w:num w:numId="12" w16cid:durableId="1953903278">
    <w:abstractNumId w:val="11"/>
  </w:num>
  <w:num w:numId="13" w16cid:durableId="1508591633">
    <w:abstractNumId w:val="12"/>
  </w:num>
  <w:num w:numId="14" w16cid:durableId="813565059">
    <w:abstractNumId w:val="7"/>
  </w:num>
  <w:num w:numId="15" w16cid:durableId="499194842">
    <w:abstractNumId w:val="19"/>
  </w:num>
  <w:num w:numId="16" w16cid:durableId="717976149">
    <w:abstractNumId w:val="21"/>
  </w:num>
  <w:num w:numId="17" w16cid:durableId="774397519">
    <w:abstractNumId w:val="17"/>
  </w:num>
  <w:num w:numId="18" w16cid:durableId="1649624345">
    <w:abstractNumId w:val="29"/>
  </w:num>
  <w:num w:numId="19" w16cid:durableId="738946143">
    <w:abstractNumId w:val="15"/>
  </w:num>
  <w:num w:numId="20" w16cid:durableId="779647990">
    <w:abstractNumId w:val="1"/>
  </w:num>
  <w:num w:numId="21" w16cid:durableId="2136020873">
    <w:abstractNumId w:val="10"/>
  </w:num>
  <w:num w:numId="22" w16cid:durableId="1430080804">
    <w:abstractNumId w:val="30"/>
  </w:num>
  <w:num w:numId="23" w16cid:durableId="2090425244">
    <w:abstractNumId w:val="20"/>
  </w:num>
  <w:num w:numId="24" w16cid:durableId="1424835536">
    <w:abstractNumId w:val="6"/>
  </w:num>
  <w:num w:numId="25" w16cid:durableId="95711806">
    <w:abstractNumId w:val="26"/>
  </w:num>
  <w:num w:numId="26" w16cid:durableId="527567665">
    <w:abstractNumId w:val="28"/>
  </w:num>
  <w:num w:numId="27" w16cid:durableId="1021928543">
    <w:abstractNumId w:val="2"/>
  </w:num>
  <w:num w:numId="28" w16cid:durableId="441998050">
    <w:abstractNumId w:val="4"/>
  </w:num>
  <w:num w:numId="29" w16cid:durableId="1427188565">
    <w:abstractNumId w:val="14"/>
  </w:num>
  <w:num w:numId="30" w16cid:durableId="1053967283">
    <w:abstractNumId w:val="24"/>
  </w:num>
  <w:num w:numId="31" w16cid:durableId="863253068">
    <w:abstractNumId w:val="22"/>
  </w:num>
  <w:num w:numId="32" w16cid:durableId="3427089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2284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4174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9159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04489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99276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026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4650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8313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02949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94613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YZPQDwMRwVTMfzDkHa5rbKbfCsGQUqT+suqgGje/r2B0f4WgIUE4yRPC4nOzM2p8Ren4lULcwVZHewrJJEzhmg==" w:salt="aP7oWrPPIHwTseo3XXKkH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2B0"/>
    <w:rsid w:val="0000040A"/>
    <w:rsid w:val="00000A94"/>
    <w:rsid w:val="00001972"/>
    <w:rsid w:val="00001D9A"/>
    <w:rsid w:val="00007B3A"/>
    <w:rsid w:val="00010518"/>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F16"/>
    <w:rsid w:val="0004249A"/>
    <w:rsid w:val="00043282"/>
    <w:rsid w:val="00044286"/>
    <w:rsid w:val="00047F28"/>
    <w:rsid w:val="000503AA"/>
    <w:rsid w:val="000506A1"/>
    <w:rsid w:val="000515DD"/>
    <w:rsid w:val="00051A67"/>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392"/>
    <w:rsid w:val="00077B64"/>
    <w:rsid w:val="00080A1C"/>
    <w:rsid w:val="00082317"/>
    <w:rsid w:val="00083D2C"/>
    <w:rsid w:val="00086AA1"/>
    <w:rsid w:val="00087667"/>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A97"/>
    <w:rsid w:val="000D4B9C"/>
    <w:rsid w:val="000D4EB6"/>
    <w:rsid w:val="000D753B"/>
    <w:rsid w:val="000E2DDA"/>
    <w:rsid w:val="000E4C9E"/>
    <w:rsid w:val="000E6AD4"/>
    <w:rsid w:val="000E6BAF"/>
    <w:rsid w:val="000E6FD7"/>
    <w:rsid w:val="000E7144"/>
    <w:rsid w:val="000E77D3"/>
    <w:rsid w:val="000F06E1"/>
    <w:rsid w:val="000F0E3C"/>
    <w:rsid w:val="000F19D5"/>
    <w:rsid w:val="000F4050"/>
    <w:rsid w:val="000F4929"/>
    <w:rsid w:val="000F4AEA"/>
    <w:rsid w:val="000F67E9"/>
    <w:rsid w:val="00104926"/>
    <w:rsid w:val="0010703D"/>
    <w:rsid w:val="00113B1E"/>
    <w:rsid w:val="0011711C"/>
    <w:rsid w:val="0012244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E99"/>
    <w:rsid w:val="001457E7"/>
    <w:rsid w:val="00145D9D"/>
    <w:rsid w:val="00146388"/>
    <w:rsid w:val="00147426"/>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D08"/>
    <w:rsid w:val="001A1A53"/>
    <w:rsid w:val="001A234A"/>
    <w:rsid w:val="001A4CF3"/>
    <w:rsid w:val="001A6696"/>
    <w:rsid w:val="001B06E8"/>
    <w:rsid w:val="001B2A06"/>
    <w:rsid w:val="001B71D0"/>
    <w:rsid w:val="001B71EE"/>
    <w:rsid w:val="001C04A8"/>
    <w:rsid w:val="001C0737"/>
    <w:rsid w:val="001C2C03"/>
    <w:rsid w:val="001C42F7"/>
    <w:rsid w:val="001C49E5"/>
    <w:rsid w:val="001C680C"/>
    <w:rsid w:val="001C7FEA"/>
    <w:rsid w:val="001D0499"/>
    <w:rsid w:val="001D0BBE"/>
    <w:rsid w:val="001D0ED4"/>
    <w:rsid w:val="001D212F"/>
    <w:rsid w:val="001D29D7"/>
    <w:rsid w:val="001D2DE7"/>
    <w:rsid w:val="001D411C"/>
    <w:rsid w:val="001D5D13"/>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D78"/>
    <w:rsid w:val="002142EA"/>
    <w:rsid w:val="00215ADD"/>
    <w:rsid w:val="00215D56"/>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57F"/>
    <w:rsid w:val="0026127C"/>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105"/>
    <w:rsid w:val="002B4508"/>
    <w:rsid w:val="002B5779"/>
    <w:rsid w:val="002B7332"/>
    <w:rsid w:val="002B7F51"/>
    <w:rsid w:val="002C09E7"/>
    <w:rsid w:val="002C1E06"/>
    <w:rsid w:val="002C3F07"/>
    <w:rsid w:val="002C5278"/>
    <w:rsid w:val="002C5B51"/>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CA5"/>
    <w:rsid w:val="00313B85"/>
    <w:rsid w:val="00317988"/>
    <w:rsid w:val="003221B4"/>
    <w:rsid w:val="0032258D"/>
    <w:rsid w:val="00322E62"/>
    <w:rsid w:val="00324D13"/>
    <w:rsid w:val="00324EDD"/>
    <w:rsid w:val="00331770"/>
    <w:rsid w:val="00332BC7"/>
    <w:rsid w:val="003331E4"/>
    <w:rsid w:val="003344AD"/>
    <w:rsid w:val="00336C64"/>
    <w:rsid w:val="00337162"/>
    <w:rsid w:val="0034194F"/>
    <w:rsid w:val="00344605"/>
    <w:rsid w:val="003474AA"/>
    <w:rsid w:val="00350D1D"/>
    <w:rsid w:val="00352C83"/>
    <w:rsid w:val="00352F1A"/>
    <w:rsid w:val="0036107C"/>
    <w:rsid w:val="003615D2"/>
    <w:rsid w:val="003638D4"/>
    <w:rsid w:val="0036429C"/>
    <w:rsid w:val="00364A53"/>
    <w:rsid w:val="003654CB"/>
    <w:rsid w:val="00365AA9"/>
    <w:rsid w:val="00365F86"/>
    <w:rsid w:val="00365F87"/>
    <w:rsid w:val="00366E89"/>
    <w:rsid w:val="003705F4"/>
    <w:rsid w:val="00370D58"/>
    <w:rsid w:val="00371316"/>
    <w:rsid w:val="0037278A"/>
    <w:rsid w:val="003741F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F32"/>
    <w:rsid w:val="003974EB"/>
    <w:rsid w:val="00397CC5"/>
    <w:rsid w:val="003A11D1"/>
    <w:rsid w:val="003A1582"/>
    <w:rsid w:val="003A3D9C"/>
    <w:rsid w:val="003A4077"/>
    <w:rsid w:val="003A4AA7"/>
    <w:rsid w:val="003B09AD"/>
    <w:rsid w:val="003B1F18"/>
    <w:rsid w:val="003B5BF0"/>
    <w:rsid w:val="003B60BF"/>
    <w:rsid w:val="003B6BE3"/>
    <w:rsid w:val="003B764F"/>
    <w:rsid w:val="003C010C"/>
    <w:rsid w:val="003C0A6C"/>
    <w:rsid w:val="003C14F8"/>
    <w:rsid w:val="003C5A43"/>
    <w:rsid w:val="003D0519"/>
    <w:rsid w:val="003D0FF6"/>
    <w:rsid w:val="003D1171"/>
    <w:rsid w:val="003D2192"/>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239"/>
    <w:rsid w:val="003F6272"/>
    <w:rsid w:val="00400E72"/>
    <w:rsid w:val="00401400"/>
    <w:rsid w:val="00404869"/>
    <w:rsid w:val="00405884"/>
    <w:rsid w:val="00407D39"/>
    <w:rsid w:val="0041477A"/>
    <w:rsid w:val="004167A3"/>
    <w:rsid w:val="0041724B"/>
    <w:rsid w:val="0042343C"/>
    <w:rsid w:val="00426ED0"/>
    <w:rsid w:val="00431CE1"/>
    <w:rsid w:val="00432DAA"/>
    <w:rsid w:val="00434305"/>
    <w:rsid w:val="00435DF7"/>
    <w:rsid w:val="0043741A"/>
    <w:rsid w:val="0044083F"/>
    <w:rsid w:val="00441AE7"/>
    <w:rsid w:val="00445574"/>
    <w:rsid w:val="004465B7"/>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1FB"/>
    <w:rsid w:val="004A12DF"/>
    <w:rsid w:val="004A1BA8"/>
    <w:rsid w:val="004A4B57"/>
    <w:rsid w:val="004A63FA"/>
    <w:rsid w:val="004A6A3D"/>
    <w:rsid w:val="004A6B19"/>
    <w:rsid w:val="004B0272"/>
    <w:rsid w:val="004B2701"/>
    <w:rsid w:val="004B2E1B"/>
    <w:rsid w:val="004B3AA8"/>
    <w:rsid w:val="004B3E93"/>
    <w:rsid w:val="004C1FBC"/>
    <w:rsid w:val="004C25A2"/>
    <w:rsid w:val="004C3DBC"/>
    <w:rsid w:val="004C3F1D"/>
    <w:rsid w:val="004C458D"/>
    <w:rsid w:val="004C7556"/>
    <w:rsid w:val="004C7E8B"/>
    <w:rsid w:val="004C7E9D"/>
    <w:rsid w:val="004C7F67"/>
    <w:rsid w:val="004D076D"/>
    <w:rsid w:val="004D0EF1"/>
    <w:rsid w:val="004D133A"/>
    <w:rsid w:val="004D2253"/>
    <w:rsid w:val="004D4406"/>
    <w:rsid w:val="004D7C42"/>
    <w:rsid w:val="004E0465"/>
    <w:rsid w:val="004E127B"/>
    <w:rsid w:val="004E1C0A"/>
    <w:rsid w:val="004E30C5"/>
    <w:rsid w:val="004E4AA5"/>
    <w:rsid w:val="004E4AEE"/>
    <w:rsid w:val="004E59E3"/>
    <w:rsid w:val="004E654F"/>
    <w:rsid w:val="004E67C0"/>
    <w:rsid w:val="004F391A"/>
    <w:rsid w:val="004F3CFB"/>
    <w:rsid w:val="004F6456"/>
    <w:rsid w:val="004F696E"/>
    <w:rsid w:val="004F6C71"/>
    <w:rsid w:val="00501139"/>
    <w:rsid w:val="0050363E"/>
    <w:rsid w:val="005039BC"/>
    <w:rsid w:val="005043BB"/>
    <w:rsid w:val="00504A3D"/>
    <w:rsid w:val="00505767"/>
    <w:rsid w:val="00506F46"/>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CB4"/>
    <w:rsid w:val="00541E61"/>
    <w:rsid w:val="00543BDA"/>
    <w:rsid w:val="005441CC"/>
    <w:rsid w:val="005479DA"/>
    <w:rsid w:val="00547BCC"/>
    <w:rsid w:val="0055013B"/>
    <w:rsid w:val="005502F2"/>
    <w:rsid w:val="00551F6F"/>
    <w:rsid w:val="00555044"/>
    <w:rsid w:val="00556567"/>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97028"/>
    <w:rsid w:val="005979A0"/>
    <w:rsid w:val="005A0966"/>
    <w:rsid w:val="005A11B7"/>
    <w:rsid w:val="005A260B"/>
    <w:rsid w:val="005A4A1B"/>
    <w:rsid w:val="005A7830"/>
    <w:rsid w:val="005A7FCE"/>
    <w:rsid w:val="005B0710"/>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6E40"/>
    <w:rsid w:val="005E2335"/>
    <w:rsid w:val="005E34CA"/>
    <w:rsid w:val="005E3C18"/>
    <w:rsid w:val="005E4250"/>
    <w:rsid w:val="005E52C4"/>
    <w:rsid w:val="005E6812"/>
    <w:rsid w:val="005E7881"/>
    <w:rsid w:val="005E78E0"/>
    <w:rsid w:val="005F0D9C"/>
    <w:rsid w:val="005F284E"/>
    <w:rsid w:val="006010E2"/>
    <w:rsid w:val="006015CE"/>
    <w:rsid w:val="00604784"/>
    <w:rsid w:val="00606419"/>
    <w:rsid w:val="00607D29"/>
    <w:rsid w:val="00610524"/>
    <w:rsid w:val="00612952"/>
    <w:rsid w:val="00614CC1"/>
    <w:rsid w:val="00615A9D"/>
    <w:rsid w:val="00617387"/>
    <w:rsid w:val="006205D6"/>
    <w:rsid w:val="006252D8"/>
    <w:rsid w:val="006259BC"/>
    <w:rsid w:val="0062636B"/>
    <w:rsid w:val="00632182"/>
    <w:rsid w:val="00632AE0"/>
    <w:rsid w:val="00633C17"/>
    <w:rsid w:val="00634D9E"/>
    <w:rsid w:val="00636E3E"/>
    <w:rsid w:val="006376EF"/>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C7E"/>
    <w:rsid w:val="00664F62"/>
    <w:rsid w:val="006655E1"/>
    <w:rsid w:val="00671B54"/>
    <w:rsid w:val="00672060"/>
    <w:rsid w:val="00672BFD"/>
    <w:rsid w:val="006770F4"/>
    <w:rsid w:val="00677A84"/>
    <w:rsid w:val="0068026D"/>
    <w:rsid w:val="00680A27"/>
    <w:rsid w:val="006816A4"/>
    <w:rsid w:val="006819B8"/>
    <w:rsid w:val="006840A6"/>
    <w:rsid w:val="006846D7"/>
    <w:rsid w:val="006850CD"/>
    <w:rsid w:val="00685AAB"/>
    <w:rsid w:val="00693962"/>
    <w:rsid w:val="006974F5"/>
    <w:rsid w:val="006A07AA"/>
    <w:rsid w:val="006A25E5"/>
    <w:rsid w:val="006A2B46"/>
    <w:rsid w:val="006A336D"/>
    <w:rsid w:val="006A37B9"/>
    <w:rsid w:val="006B2672"/>
    <w:rsid w:val="006B50C2"/>
    <w:rsid w:val="006B54BF"/>
    <w:rsid w:val="006B5F44"/>
    <w:rsid w:val="006B5F90"/>
    <w:rsid w:val="006B62E4"/>
    <w:rsid w:val="006C1BBA"/>
    <w:rsid w:val="006C2079"/>
    <w:rsid w:val="006C5A62"/>
    <w:rsid w:val="006C5D68"/>
    <w:rsid w:val="006C6453"/>
    <w:rsid w:val="006C6976"/>
    <w:rsid w:val="006C6DD0"/>
    <w:rsid w:val="006D04EA"/>
    <w:rsid w:val="006D16C4"/>
    <w:rsid w:val="006D3E96"/>
    <w:rsid w:val="006D4515"/>
    <w:rsid w:val="006D4BB1"/>
    <w:rsid w:val="006D6593"/>
    <w:rsid w:val="006F03A8"/>
    <w:rsid w:val="006F2439"/>
    <w:rsid w:val="006F2ACA"/>
    <w:rsid w:val="006F2ADC"/>
    <w:rsid w:val="006F2BFE"/>
    <w:rsid w:val="006F31E9"/>
    <w:rsid w:val="006F6284"/>
    <w:rsid w:val="007002C5"/>
    <w:rsid w:val="00704387"/>
    <w:rsid w:val="00707669"/>
    <w:rsid w:val="007113A3"/>
    <w:rsid w:val="00711CBA"/>
    <w:rsid w:val="00711FB5"/>
    <w:rsid w:val="00712A01"/>
    <w:rsid w:val="0071329A"/>
    <w:rsid w:val="00714F58"/>
    <w:rsid w:val="00722FBF"/>
    <w:rsid w:val="00722FC2"/>
    <w:rsid w:val="007230C0"/>
    <w:rsid w:val="00724E1B"/>
    <w:rsid w:val="00724F8F"/>
    <w:rsid w:val="00725949"/>
    <w:rsid w:val="00727FA2"/>
    <w:rsid w:val="007322D9"/>
    <w:rsid w:val="00732BC0"/>
    <w:rsid w:val="0073720F"/>
    <w:rsid w:val="00737796"/>
    <w:rsid w:val="00737D6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08"/>
    <w:rsid w:val="00765C43"/>
    <w:rsid w:val="00765EFB"/>
    <w:rsid w:val="007671CA"/>
    <w:rsid w:val="00767C61"/>
    <w:rsid w:val="0077008A"/>
    <w:rsid w:val="00773C1F"/>
    <w:rsid w:val="00774DA4"/>
    <w:rsid w:val="00776599"/>
    <w:rsid w:val="0078114B"/>
    <w:rsid w:val="00781DD2"/>
    <w:rsid w:val="00782B5D"/>
    <w:rsid w:val="00783ECF"/>
    <w:rsid w:val="00784023"/>
    <w:rsid w:val="0078413A"/>
    <w:rsid w:val="007866E4"/>
    <w:rsid w:val="00791FFA"/>
    <w:rsid w:val="007959E8"/>
    <w:rsid w:val="00795E9C"/>
    <w:rsid w:val="007A0521"/>
    <w:rsid w:val="007A2E12"/>
    <w:rsid w:val="007A3475"/>
    <w:rsid w:val="007A41C8"/>
    <w:rsid w:val="007A54CE"/>
    <w:rsid w:val="007A5D3A"/>
    <w:rsid w:val="007A6FD9"/>
    <w:rsid w:val="007A7FFA"/>
    <w:rsid w:val="007B04EB"/>
    <w:rsid w:val="007B0D4F"/>
    <w:rsid w:val="007B12E4"/>
    <w:rsid w:val="007B3F0B"/>
    <w:rsid w:val="007B5A3D"/>
    <w:rsid w:val="007B5B95"/>
    <w:rsid w:val="007B6032"/>
    <w:rsid w:val="007B68EA"/>
    <w:rsid w:val="007B7453"/>
    <w:rsid w:val="007C24F1"/>
    <w:rsid w:val="007C2D89"/>
    <w:rsid w:val="007C4593"/>
    <w:rsid w:val="007C5309"/>
    <w:rsid w:val="007C6069"/>
    <w:rsid w:val="007D06C4"/>
    <w:rsid w:val="007D1352"/>
    <w:rsid w:val="007D2508"/>
    <w:rsid w:val="007D346A"/>
    <w:rsid w:val="007D4008"/>
    <w:rsid w:val="007D6518"/>
    <w:rsid w:val="007D76BD"/>
    <w:rsid w:val="007E0BF1"/>
    <w:rsid w:val="007F0ED8"/>
    <w:rsid w:val="007F0F63"/>
    <w:rsid w:val="007F3FCA"/>
    <w:rsid w:val="007F75CE"/>
    <w:rsid w:val="007F761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A9C"/>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215"/>
    <w:rsid w:val="0085173A"/>
    <w:rsid w:val="00853473"/>
    <w:rsid w:val="0085562C"/>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283"/>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D79"/>
    <w:rsid w:val="00902722"/>
    <w:rsid w:val="009027BC"/>
    <w:rsid w:val="0090533A"/>
    <w:rsid w:val="009062E6"/>
    <w:rsid w:val="00911BE5"/>
    <w:rsid w:val="00913CA9"/>
    <w:rsid w:val="009145AE"/>
    <w:rsid w:val="009146CE"/>
    <w:rsid w:val="00914CA7"/>
    <w:rsid w:val="00915C3E"/>
    <w:rsid w:val="009161A8"/>
    <w:rsid w:val="009245AE"/>
    <w:rsid w:val="009245F5"/>
    <w:rsid w:val="009249EC"/>
    <w:rsid w:val="009273B3"/>
    <w:rsid w:val="009305B5"/>
    <w:rsid w:val="00931E06"/>
    <w:rsid w:val="00936B11"/>
    <w:rsid w:val="009378DD"/>
    <w:rsid w:val="009429D5"/>
    <w:rsid w:val="00942BF1"/>
    <w:rsid w:val="00945180"/>
    <w:rsid w:val="00945428"/>
    <w:rsid w:val="0094607B"/>
    <w:rsid w:val="00953604"/>
    <w:rsid w:val="0095496B"/>
    <w:rsid w:val="009564C9"/>
    <w:rsid w:val="00960F1E"/>
    <w:rsid w:val="009610DC"/>
    <w:rsid w:val="00961490"/>
    <w:rsid w:val="0096381A"/>
    <w:rsid w:val="00965E04"/>
    <w:rsid w:val="009674AD"/>
    <w:rsid w:val="00970CDC"/>
    <w:rsid w:val="00975727"/>
    <w:rsid w:val="00977010"/>
    <w:rsid w:val="00977D02"/>
    <w:rsid w:val="00977FF9"/>
    <w:rsid w:val="009809BB"/>
    <w:rsid w:val="0098364B"/>
    <w:rsid w:val="00984A30"/>
    <w:rsid w:val="009908A3"/>
    <w:rsid w:val="009911AF"/>
    <w:rsid w:val="00991875"/>
    <w:rsid w:val="00991F92"/>
    <w:rsid w:val="00992985"/>
    <w:rsid w:val="00993889"/>
    <w:rsid w:val="0099551B"/>
    <w:rsid w:val="00996BD2"/>
    <w:rsid w:val="00997A67"/>
    <w:rsid w:val="00997BF1"/>
    <w:rsid w:val="009A089C"/>
    <w:rsid w:val="009A118E"/>
    <w:rsid w:val="009A21CD"/>
    <w:rsid w:val="009A278C"/>
    <w:rsid w:val="009A2BC2"/>
    <w:rsid w:val="009A2D97"/>
    <w:rsid w:val="009A42C1"/>
    <w:rsid w:val="009A5429"/>
    <w:rsid w:val="009A72AD"/>
    <w:rsid w:val="009B09E0"/>
    <w:rsid w:val="009B0BC5"/>
    <w:rsid w:val="009B1247"/>
    <w:rsid w:val="009B4B3B"/>
    <w:rsid w:val="009B6029"/>
    <w:rsid w:val="009B6971"/>
    <w:rsid w:val="009B7864"/>
    <w:rsid w:val="009C27F1"/>
    <w:rsid w:val="009C3152"/>
    <w:rsid w:val="009C3257"/>
    <w:rsid w:val="009C4CFA"/>
    <w:rsid w:val="009C5070"/>
    <w:rsid w:val="009C688A"/>
    <w:rsid w:val="009D112C"/>
    <w:rsid w:val="009D1385"/>
    <w:rsid w:val="009D47FA"/>
    <w:rsid w:val="009D4C5B"/>
    <w:rsid w:val="009D50D2"/>
    <w:rsid w:val="009D6BCA"/>
    <w:rsid w:val="009E0F62"/>
    <w:rsid w:val="009E4A58"/>
    <w:rsid w:val="009E5A2D"/>
    <w:rsid w:val="009E5AB2"/>
    <w:rsid w:val="009E6219"/>
    <w:rsid w:val="009F03B3"/>
    <w:rsid w:val="009F169A"/>
    <w:rsid w:val="009F6E32"/>
    <w:rsid w:val="00A0096C"/>
    <w:rsid w:val="00A01757"/>
    <w:rsid w:val="00A028C0"/>
    <w:rsid w:val="00A02BAE"/>
    <w:rsid w:val="00A06A6B"/>
    <w:rsid w:val="00A07E47"/>
    <w:rsid w:val="00A10151"/>
    <w:rsid w:val="00A129D0"/>
    <w:rsid w:val="00A12C33"/>
    <w:rsid w:val="00A132B0"/>
    <w:rsid w:val="00A138BA"/>
    <w:rsid w:val="00A14C8E"/>
    <w:rsid w:val="00A153D9"/>
    <w:rsid w:val="00A15F09"/>
    <w:rsid w:val="00A169B6"/>
    <w:rsid w:val="00A209F9"/>
    <w:rsid w:val="00A2271D"/>
    <w:rsid w:val="00A237D5"/>
    <w:rsid w:val="00A279F7"/>
    <w:rsid w:val="00A30EFC"/>
    <w:rsid w:val="00A31984"/>
    <w:rsid w:val="00A32D73"/>
    <w:rsid w:val="00A3367B"/>
    <w:rsid w:val="00A33C67"/>
    <w:rsid w:val="00A3597D"/>
    <w:rsid w:val="00A36DD1"/>
    <w:rsid w:val="00A4006C"/>
    <w:rsid w:val="00A40091"/>
    <w:rsid w:val="00A4030F"/>
    <w:rsid w:val="00A41C79"/>
    <w:rsid w:val="00A41CB5"/>
    <w:rsid w:val="00A42CDF"/>
    <w:rsid w:val="00A4320A"/>
    <w:rsid w:val="00A4452E"/>
    <w:rsid w:val="00A4472C"/>
    <w:rsid w:val="00A44E69"/>
    <w:rsid w:val="00A45E06"/>
    <w:rsid w:val="00A4661E"/>
    <w:rsid w:val="00A55BD6"/>
    <w:rsid w:val="00A55D50"/>
    <w:rsid w:val="00A57142"/>
    <w:rsid w:val="00A648CD"/>
    <w:rsid w:val="00A6537A"/>
    <w:rsid w:val="00A67866"/>
    <w:rsid w:val="00A70B07"/>
    <w:rsid w:val="00A7203B"/>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1EC"/>
    <w:rsid w:val="00AB4F95"/>
    <w:rsid w:val="00AB6309"/>
    <w:rsid w:val="00AB6C5F"/>
    <w:rsid w:val="00AB7129"/>
    <w:rsid w:val="00AC1C9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ADE"/>
    <w:rsid w:val="00AE5EB4"/>
    <w:rsid w:val="00AF0C18"/>
    <w:rsid w:val="00AF24BB"/>
    <w:rsid w:val="00AF47C5"/>
    <w:rsid w:val="00AF4F47"/>
    <w:rsid w:val="00AF5398"/>
    <w:rsid w:val="00AF7E25"/>
    <w:rsid w:val="00B049AF"/>
    <w:rsid w:val="00B07242"/>
    <w:rsid w:val="00B10534"/>
    <w:rsid w:val="00B113DB"/>
    <w:rsid w:val="00B11D8A"/>
    <w:rsid w:val="00B12981"/>
    <w:rsid w:val="00B147DD"/>
    <w:rsid w:val="00B156FD"/>
    <w:rsid w:val="00B21F61"/>
    <w:rsid w:val="00B2547E"/>
    <w:rsid w:val="00B261F1"/>
    <w:rsid w:val="00B265BC"/>
    <w:rsid w:val="00B31FB1"/>
    <w:rsid w:val="00B33952"/>
    <w:rsid w:val="00B33C5E"/>
    <w:rsid w:val="00B342F4"/>
    <w:rsid w:val="00B34369"/>
    <w:rsid w:val="00B34DC2"/>
    <w:rsid w:val="00B370F3"/>
    <w:rsid w:val="00B378E5"/>
    <w:rsid w:val="00B4346D"/>
    <w:rsid w:val="00B440F4"/>
    <w:rsid w:val="00B44688"/>
    <w:rsid w:val="00B447A5"/>
    <w:rsid w:val="00B4654C"/>
    <w:rsid w:val="00B47293"/>
    <w:rsid w:val="00B50E50"/>
    <w:rsid w:val="00B52120"/>
    <w:rsid w:val="00B53A57"/>
    <w:rsid w:val="00B54056"/>
    <w:rsid w:val="00B54ABC"/>
    <w:rsid w:val="00B56FBE"/>
    <w:rsid w:val="00B60ACF"/>
    <w:rsid w:val="00B62B58"/>
    <w:rsid w:val="00B62F3A"/>
    <w:rsid w:val="00B65149"/>
    <w:rsid w:val="00B66567"/>
    <w:rsid w:val="00B66F52"/>
    <w:rsid w:val="00B66FE5"/>
    <w:rsid w:val="00B72880"/>
    <w:rsid w:val="00B758BF"/>
    <w:rsid w:val="00B77EC8"/>
    <w:rsid w:val="00B827A6"/>
    <w:rsid w:val="00B831CE"/>
    <w:rsid w:val="00B837FE"/>
    <w:rsid w:val="00B86677"/>
    <w:rsid w:val="00B87131"/>
    <w:rsid w:val="00B939B1"/>
    <w:rsid w:val="00B958D2"/>
    <w:rsid w:val="00B96D40"/>
    <w:rsid w:val="00B96E3C"/>
    <w:rsid w:val="00B97386"/>
    <w:rsid w:val="00BA263B"/>
    <w:rsid w:val="00BA301C"/>
    <w:rsid w:val="00BA42B2"/>
    <w:rsid w:val="00BA51DC"/>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87A"/>
    <w:rsid w:val="00C103E5"/>
    <w:rsid w:val="00C13319"/>
    <w:rsid w:val="00C13EE9"/>
    <w:rsid w:val="00C1784C"/>
    <w:rsid w:val="00C21540"/>
    <w:rsid w:val="00C21906"/>
    <w:rsid w:val="00C21BFA"/>
    <w:rsid w:val="00C24C8D"/>
    <w:rsid w:val="00C25FE2"/>
    <w:rsid w:val="00C26B53"/>
    <w:rsid w:val="00C279B2"/>
    <w:rsid w:val="00C27B2B"/>
    <w:rsid w:val="00C33E50"/>
    <w:rsid w:val="00C34C20"/>
    <w:rsid w:val="00C35A3E"/>
    <w:rsid w:val="00C42130"/>
    <w:rsid w:val="00C423A4"/>
    <w:rsid w:val="00C423E3"/>
    <w:rsid w:val="00C44BF5"/>
    <w:rsid w:val="00C521D6"/>
    <w:rsid w:val="00C55232"/>
    <w:rsid w:val="00C553A4"/>
    <w:rsid w:val="00C55A06"/>
    <w:rsid w:val="00C55D03"/>
    <w:rsid w:val="00C57990"/>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713"/>
    <w:rsid w:val="00CA2D1B"/>
    <w:rsid w:val="00CA2E30"/>
    <w:rsid w:val="00CA375D"/>
    <w:rsid w:val="00CA662A"/>
    <w:rsid w:val="00CA7AFD"/>
    <w:rsid w:val="00CA7C3C"/>
    <w:rsid w:val="00CB0189"/>
    <w:rsid w:val="00CB0BA2"/>
    <w:rsid w:val="00CB1A42"/>
    <w:rsid w:val="00CB1B0C"/>
    <w:rsid w:val="00CB297B"/>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349"/>
    <w:rsid w:val="00CF048A"/>
    <w:rsid w:val="00CF100E"/>
    <w:rsid w:val="00CF155A"/>
    <w:rsid w:val="00CF2947"/>
    <w:rsid w:val="00CF3B94"/>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36B"/>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4D7"/>
    <w:rsid w:val="00D65A72"/>
    <w:rsid w:val="00D66846"/>
    <w:rsid w:val="00D675FB"/>
    <w:rsid w:val="00D71F25"/>
    <w:rsid w:val="00D72A9C"/>
    <w:rsid w:val="00D77031"/>
    <w:rsid w:val="00D82C64"/>
    <w:rsid w:val="00D84709"/>
    <w:rsid w:val="00D84941"/>
    <w:rsid w:val="00D84FA1"/>
    <w:rsid w:val="00D851F0"/>
    <w:rsid w:val="00D86DB7"/>
    <w:rsid w:val="00D87BF5"/>
    <w:rsid w:val="00D90721"/>
    <w:rsid w:val="00D926D0"/>
    <w:rsid w:val="00D93030"/>
    <w:rsid w:val="00D950E1"/>
    <w:rsid w:val="00D952A6"/>
    <w:rsid w:val="00D97F99"/>
    <w:rsid w:val="00DA0EF5"/>
    <w:rsid w:val="00DA1E08"/>
    <w:rsid w:val="00DA24F8"/>
    <w:rsid w:val="00DA28E8"/>
    <w:rsid w:val="00DA38D3"/>
    <w:rsid w:val="00DA3932"/>
    <w:rsid w:val="00DA3AFC"/>
    <w:rsid w:val="00DA5AA9"/>
    <w:rsid w:val="00DA64F8"/>
    <w:rsid w:val="00DA6C15"/>
    <w:rsid w:val="00DB0258"/>
    <w:rsid w:val="00DB38EE"/>
    <w:rsid w:val="00DB498B"/>
    <w:rsid w:val="00DB66CA"/>
    <w:rsid w:val="00DB6BCA"/>
    <w:rsid w:val="00DB6F54"/>
    <w:rsid w:val="00DB73F7"/>
    <w:rsid w:val="00DC0321"/>
    <w:rsid w:val="00DC3067"/>
    <w:rsid w:val="00DC370B"/>
    <w:rsid w:val="00DC3B14"/>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985"/>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BDC"/>
    <w:rsid w:val="00E44A83"/>
    <w:rsid w:val="00E502C1"/>
    <w:rsid w:val="00E502DD"/>
    <w:rsid w:val="00E50D3A"/>
    <w:rsid w:val="00E51387"/>
    <w:rsid w:val="00E51E68"/>
    <w:rsid w:val="00E52EFD"/>
    <w:rsid w:val="00E5408A"/>
    <w:rsid w:val="00E56800"/>
    <w:rsid w:val="00E60C63"/>
    <w:rsid w:val="00E61D9B"/>
    <w:rsid w:val="00E62FF9"/>
    <w:rsid w:val="00E635D6"/>
    <w:rsid w:val="00E639BC"/>
    <w:rsid w:val="00E664CC"/>
    <w:rsid w:val="00E70388"/>
    <w:rsid w:val="00E70F92"/>
    <w:rsid w:val="00E71B39"/>
    <w:rsid w:val="00E726B1"/>
    <w:rsid w:val="00E7315F"/>
    <w:rsid w:val="00E74313"/>
    <w:rsid w:val="00E74C54"/>
    <w:rsid w:val="00E77A03"/>
    <w:rsid w:val="00E77DD7"/>
    <w:rsid w:val="00E822E8"/>
    <w:rsid w:val="00E82554"/>
    <w:rsid w:val="00E82606"/>
    <w:rsid w:val="00E82A36"/>
    <w:rsid w:val="00E831C1"/>
    <w:rsid w:val="00E841BB"/>
    <w:rsid w:val="00E846C8"/>
    <w:rsid w:val="00E84957"/>
    <w:rsid w:val="00E84A55"/>
    <w:rsid w:val="00E85BFF"/>
    <w:rsid w:val="00E90391"/>
    <w:rsid w:val="00E906C2"/>
    <w:rsid w:val="00E9311F"/>
    <w:rsid w:val="00E934D1"/>
    <w:rsid w:val="00E94AF0"/>
    <w:rsid w:val="00E9555E"/>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588"/>
    <w:rsid w:val="00EE0350"/>
    <w:rsid w:val="00EE0719"/>
    <w:rsid w:val="00EE0E80"/>
    <w:rsid w:val="00EE613F"/>
    <w:rsid w:val="00EE7295"/>
    <w:rsid w:val="00EE7869"/>
    <w:rsid w:val="00EF054A"/>
    <w:rsid w:val="00EF3235"/>
    <w:rsid w:val="00EF7B13"/>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20F"/>
    <w:rsid w:val="00F32780"/>
    <w:rsid w:val="00F33817"/>
    <w:rsid w:val="00F420D5"/>
    <w:rsid w:val="00F451EA"/>
    <w:rsid w:val="00F45447"/>
    <w:rsid w:val="00F456C6"/>
    <w:rsid w:val="00F4577B"/>
    <w:rsid w:val="00F46496"/>
    <w:rsid w:val="00F474D0"/>
    <w:rsid w:val="00F50179"/>
    <w:rsid w:val="00F515EE"/>
    <w:rsid w:val="00F56511"/>
    <w:rsid w:val="00F61001"/>
    <w:rsid w:val="00F6194E"/>
    <w:rsid w:val="00F623AC"/>
    <w:rsid w:val="00F6412A"/>
    <w:rsid w:val="00F65893"/>
    <w:rsid w:val="00F66A4A"/>
    <w:rsid w:val="00F71E22"/>
    <w:rsid w:val="00F72142"/>
    <w:rsid w:val="00F72AE7"/>
    <w:rsid w:val="00F7346E"/>
    <w:rsid w:val="00F833BA"/>
    <w:rsid w:val="00F84FD0"/>
    <w:rsid w:val="00F859A8"/>
    <w:rsid w:val="00F86D87"/>
    <w:rsid w:val="00F9108B"/>
    <w:rsid w:val="00F91349"/>
    <w:rsid w:val="00F93A8A"/>
    <w:rsid w:val="00F95248"/>
    <w:rsid w:val="00F956A9"/>
    <w:rsid w:val="00F963ED"/>
    <w:rsid w:val="00F966CF"/>
    <w:rsid w:val="00F96CAE"/>
    <w:rsid w:val="00F97C99"/>
    <w:rsid w:val="00FA358B"/>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A36"/>
    <w:rsid w:val="00FF3E7D"/>
    <w:rsid w:val="00FF5B99"/>
    <w:rsid w:val="00FF67F8"/>
    <w:rsid w:val="00FF730C"/>
    <w:rsid w:val="00FF73F4"/>
    <w:rsid w:val="00FF7CE4"/>
    <w:rsid w:val="00FF7E39"/>
    <w:rsid w:val="08337603"/>
    <w:rsid w:val="1D0F2DB2"/>
    <w:rsid w:val="2ABA4C17"/>
    <w:rsid w:val="52B86AF4"/>
    <w:rsid w:val="7D641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E06F3E6"/>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styleId="afffffffffffa">
    <w:name w:val="List Paragraph"/>
    <w:basedOn w:val="afff5"/>
    <w:link w:val="afffffffffffb"/>
    <w:uiPriority w:val="34"/>
    <w:qFormat/>
    <w:pPr>
      <w:adjustRightInd/>
      <w:spacing w:line="240" w:lineRule="auto"/>
      <w:ind w:firstLineChars="200" w:firstLine="420"/>
    </w:pPr>
    <w:rPr>
      <w:rFonts w:ascii="Times New Roman" w:hAnsi="Times New Roman"/>
      <w:szCs w:val="24"/>
    </w:rPr>
  </w:style>
  <w:style w:type="character" w:customStyle="1" w:styleId="afffffffffffb">
    <w:name w:val="列表段落 字符"/>
    <w:link w:val="afffffffffffa"/>
    <w:uiPriority w:val="34"/>
    <w:locked/>
    <w:rPr>
      <w:rFonts w:ascii="Times New Roman" w:hAnsi="Times New Roman"/>
      <w:kern w:val="2"/>
      <w:sz w:val="21"/>
      <w:szCs w:val="24"/>
    </w:rPr>
  </w:style>
  <w:style w:type="paragraph" w:customStyle="1" w:styleId="CNNO">
    <w:name w:val="CNNO程序正文（宋小四）"/>
    <w:basedOn w:val="afff5"/>
    <w:pPr>
      <w:adjustRightInd/>
      <w:spacing w:beforeLines="50" w:afterLines="50" w:line="240" w:lineRule="auto"/>
      <w:ind w:leftChars="337" w:left="708"/>
    </w:pPr>
    <w:rPr>
      <w:rFonts w:ascii="Times New Roman" w:hAnsi="Times New Roman"/>
      <w:kern w:val="0"/>
      <w:sz w:val="24"/>
      <w:szCs w:val="24"/>
    </w:rPr>
  </w:style>
  <w:style w:type="paragraph" w:customStyle="1" w:styleId="12">
    <w:name w:val="正文1"/>
    <w:pPr>
      <w:jc w:val="both"/>
    </w:pPr>
    <w:rPr>
      <w:rFonts w:cs="Calibri"/>
      <w:kern w:val="2"/>
      <w:sz w:val="21"/>
      <w:szCs w:val="21"/>
    </w:rPr>
  </w:style>
  <w:style w:type="paragraph" w:customStyle="1" w:styleId="ListParagraph1">
    <w:name w:val="List Paragraph1"/>
    <w:basedOn w:val="afff5"/>
    <w:pPr>
      <w:adjustRightInd/>
      <w:spacing w:before="120" w:after="120" w:line="240" w:lineRule="auto"/>
      <w:ind w:firstLineChars="200" w:firstLine="420"/>
    </w:pPr>
    <w:rPr>
      <w:rFonts w:ascii="等线" w:hAnsi="等线"/>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19A83C96BF40389FE55C8BED4056F0"/>
        <w:category>
          <w:name w:val="常规"/>
          <w:gallery w:val="placeholder"/>
        </w:category>
        <w:types>
          <w:type w:val="bbPlcHdr"/>
        </w:types>
        <w:behaviors>
          <w:behavior w:val="content"/>
        </w:behaviors>
        <w:guid w:val="{8CE69B5A-843E-498D-A383-84E40EA64930}"/>
      </w:docPartPr>
      <w:docPartBody>
        <w:p w:rsidR="007003FB" w:rsidRDefault="00000000">
          <w:pPr>
            <w:pStyle w:val="4A19A83C96BF40389FE55C8BED4056F0"/>
            <w:rPr>
              <w:rFonts w:hint="eastAsia"/>
            </w:rPr>
          </w:pPr>
          <w:r>
            <w:rPr>
              <w:rStyle w:val="a3"/>
              <w:rFonts w:hint="eastAsia"/>
            </w:rPr>
            <w:t>单击或点击此处输入文字。</w:t>
          </w:r>
        </w:p>
      </w:docPartBody>
    </w:docPart>
    <w:docPart>
      <w:docPartPr>
        <w:name w:val="941EAA587F2A427A944B588795099A8F"/>
        <w:category>
          <w:name w:val="常规"/>
          <w:gallery w:val="placeholder"/>
        </w:category>
        <w:types>
          <w:type w:val="bbPlcHdr"/>
        </w:types>
        <w:behaviors>
          <w:behavior w:val="content"/>
        </w:behaviors>
        <w:guid w:val="{4A6B6849-0C79-4526-A266-DBF2B10899B7}"/>
      </w:docPartPr>
      <w:docPartBody>
        <w:p w:rsidR="007003FB" w:rsidRDefault="00000000">
          <w:pPr>
            <w:pStyle w:val="941EAA587F2A427A944B588795099A8F"/>
            <w:rPr>
              <w:rFonts w:hint="eastAsia"/>
            </w:rPr>
          </w:pPr>
          <w:r>
            <w:rPr>
              <w:rStyle w:val="a3"/>
              <w:rFonts w:hint="eastAsia"/>
            </w:rPr>
            <w:t>选择一项。</w:t>
          </w:r>
        </w:p>
      </w:docPartBody>
    </w:docPart>
    <w:docPart>
      <w:docPartPr>
        <w:name w:val="7A725F35ED6449C981182349F8BDB029"/>
        <w:category>
          <w:name w:val="常规"/>
          <w:gallery w:val="placeholder"/>
        </w:category>
        <w:types>
          <w:type w:val="bbPlcHdr"/>
        </w:types>
        <w:behaviors>
          <w:behavior w:val="content"/>
        </w:behaviors>
        <w:guid w:val="{C14F4F99-37DC-4B0A-BABD-37F33374E008}"/>
      </w:docPartPr>
      <w:docPartBody>
        <w:p w:rsidR="007003FB" w:rsidRDefault="00000000">
          <w:pPr>
            <w:pStyle w:val="7A725F35ED6449C981182349F8BDB029"/>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FA"/>
    <w:rsid w:val="00047E79"/>
    <w:rsid w:val="000A093B"/>
    <w:rsid w:val="000D6D38"/>
    <w:rsid w:val="0011383A"/>
    <w:rsid w:val="0017337E"/>
    <w:rsid w:val="001A3CAE"/>
    <w:rsid w:val="002A63BE"/>
    <w:rsid w:val="004F0613"/>
    <w:rsid w:val="005361DF"/>
    <w:rsid w:val="00557924"/>
    <w:rsid w:val="005D6EFA"/>
    <w:rsid w:val="006010E2"/>
    <w:rsid w:val="006D6F25"/>
    <w:rsid w:val="007003FB"/>
    <w:rsid w:val="007D5ED3"/>
    <w:rsid w:val="00920C72"/>
    <w:rsid w:val="00AA0DEA"/>
    <w:rsid w:val="00D6013D"/>
    <w:rsid w:val="00E47F90"/>
    <w:rsid w:val="00F81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A19A83C96BF40389FE55C8BED4056F0">
    <w:name w:val="4A19A83C96BF40389FE55C8BED4056F0"/>
    <w:pPr>
      <w:widowControl w:val="0"/>
      <w:jc w:val="both"/>
    </w:pPr>
    <w:rPr>
      <w:kern w:val="2"/>
      <w:sz w:val="21"/>
      <w:szCs w:val="22"/>
      <w14:ligatures w14:val="standardContextual"/>
    </w:rPr>
  </w:style>
  <w:style w:type="paragraph" w:customStyle="1" w:styleId="941EAA587F2A427A944B588795099A8F">
    <w:name w:val="941EAA587F2A427A944B588795099A8F"/>
    <w:pPr>
      <w:widowControl w:val="0"/>
      <w:jc w:val="both"/>
    </w:pPr>
    <w:rPr>
      <w:kern w:val="2"/>
      <w:sz w:val="21"/>
      <w:szCs w:val="22"/>
      <w14:ligatures w14:val="standardContextual"/>
    </w:rPr>
  </w:style>
  <w:style w:type="paragraph" w:customStyle="1" w:styleId="7A725F35ED6449C981182349F8BDB029">
    <w:name w:val="7A725F35ED6449C981182349F8BDB029"/>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EAE4A-7115-4DB7-9758-C69C4C0F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112</TotalTime>
  <Pages>17</Pages>
  <Words>1717</Words>
  <Characters>9787</Characters>
  <Application>Microsoft Office Word</Application>
  <DocSecurity>0</DocSecurity>
  <Lines>81</Lines>
  <Paragraphs>22</Paragraphs>
  <ScaleCrop>false</ScaleCrop>
  <Company>PCMI</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luyz01</dc:creator>
  <dc:description>&lt;config cover="true" show_menu="true" version="1.0.0" doctype="SDKXY"&gt;_x000d_
&lt;/config&gt;</dc:description>
  <cp:lastModifiedBy>王永东 SNERDI</cp:lastModifiedBy>
  <cp:revision>10</cp:revision>
  <cp:lastPrinted>2021-02-02T08:22:00Z</cp:lastPrinted>
  <dcterms:created xsi:type="dcterms:W3CDTF">2024-05-23T12:47:00Z</dcterms:created>
  <dcterms:modified xsi:type="dcterms:W3CDTF">2026-05-27T03:24:00Z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2052-11.8.2.12085</vt:lpwstr>
  </property>
  <property fmtid="{D5CDD505-2E9C-101B-9397-08002B2CF9AE}" pid="15" name="ICV">
    <vt:lpwstr>A3D0F6438A364F8E954CC59202B8C058</vt:lpwstr>
  </property>
</Properties>
</file>